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804"/>
        <w:gridCol w:w="181"/>
        <w:gridCol w:w="5217"/>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3505" w:type="dxa"/>
            <w:gridSpan w:val="2"/>
            <w:tcBorders>
              <w:top w:val="single" w:color="000000" w:sz="12" w:space="0"/>
              <w:bottom w:val="single" w:color="000000" w:sz="12" w:space="0"/>
              <w:right w:val="nil"/>
            </w:tcBorders>
            <w:vAlign w:val="center"/>
          </w:tcPr>
          <w:p>
            <w:pPr>
              <w:rPr>
                <w:rFonts w:ascii="Arial" w:hAnsi="Arial" w:cs="Arial"/>
                <w:b/>
                <w:sz w:val="30"/>
                <w:szCs w:val="30"/>
              </w:rPr>
            </w:pPr>
            <w:r>
              <w:rPr>
                <w:rFonts w:ascii="Arial" w:hAnsi="Arial" w:cs="Arial"/>
                <w:b/>
                <w:sz w:val="30"/>
                <w:szCs w:val="30"/>
              </w:rPr>
              <w:t>Actmix</w:t>
            </w:r>
            <w:r>
              <w:rPr>
                <w:rFonts w:hint="eastAsia" w:ascii="Arial" w:hAnsi="Arial" w:cs="Arial"/>
                <w:b/>
                <w:sz w:val="30"/>
                <w:szCs w:val="30"/>
                <w:lang w:val="en-US" w:eastAsia="zh-CN"/>
              </w:rPr>
              <w:t xml:space="preserve"> </w:t>
            </w:r>
            <w:r>
              <w:rPr>
                <w:rFonts w:hint="eastAsia" w:ascii="Arial" w:hAnsi="Arial" w:cs="Arial"/>
                <w:b/>
                <w:sz w:val="30"/>
                <w:szCs w:val="30"/>
                <w:vertAlign w:val="baseline"/>
                <w:lang w:val="en-US" w:eastAsia="zh-CN"/>
              </w:rPr>
              <w:t>MBEM304-40%</w:t>
            </w:r>
          </w:p>
        </w:tc>
        <w:tc>
          <w:tcPr>
            <w:tcW w:w="5398" w:type="dxa"/>
            <w:gridSpan w:val="2"/>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val="en-US" w:eastAsia="zh-CN"/>
              </w:rPr>
              <w:t>微球发泡</w:t>
            </w:r>
            <w:r>
              <w:rPr>
                <w:rFonts w:hint="eastAsia" w:ascii="Times New Roman" w:hAnsi="Times New Roman"/>
                <w:sz w:val="30"/>
                <w:szCs w:val="30"/>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701"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功能</w:t>
            </w:r>
          </w:p>
        </w:tc>
        <w:tc>
          <w:tcPr>
            <w:tcW w:w="7202"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微球发泡剂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701"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1985"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Times New Roman" w:hAnsi="Times New Roman"/>
                <w:sz w:val="24"/>
                <w:szCs w:val="24"/>
              </w:rPr>
            </w:pPr>
            <w:r>
              <w:rPr>
                <w:rFonts w:hint="eastAsia" w:ascii="Times New Roman" w:hAnsi="Times New Roman"/>
                <w:sz w:val="24"/>
                <w:szCs w:val="24"/>
              </w:rPr>
              <w:t>组成：</w:t>
            </w:r>
          </w:p>
        </w:tc>
        <w:tc>
          <w:tcPr>
            <w:tcW w:w="5217"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ascii="Times New Roman" w:hAnsi="Times New Roman"/>
                <w:sz w:val="24"/>
                <w:szCs w:val="24"/>
              </w:rPr>
            </w:pPr>
            <w:r>
              <w:rPr>
                <w:rFonts w:hint="eastAsia"/>
                <w:sz w:val="24"/>
                <w:szCs w:val="24"/>
                <w:lang w:val="en-US" w:eastAsia="zh-CN"/>
              </w:rPr>
              <w:t>40%的微球发泡剂和60%预分散橡胶载体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外观：</w:t>
            </w:r>
          </w:p>
        </w:tc>
        <w:tc>
          <w:tcPr>
            <w:tcW w:w="521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黑色片状</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 xml:space="preserve">密度（20 </w:t>
            </w:r>
            <w:r>
              <w:rPr>
                <w:rFonts w:ascii="Times New Roman" w:hAnsi="Times New Roman"/>
                <w:sz w:val="24"/>
                <w:szCs w:val="24"/>
              </w:rPr>
              <w:t>°C</w:t>
            </w:r>
            <w:r>
              <w:rPr>
                <w:rFonts w:hint="eastAsia" w:ascii="Times New Roman" w:hAnsi="Times New Roman"/>
                <w:sz w:val="24"/>
                <w:szCs w:val="24"/>
              </w:rPr>
              <w:t>）：</w:t>
            </w:r>
          </w:p>
        </w:tc>
        <w:tc>
          <w:tcPr>
            <w:tcW w:w="521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sz w:val="24"/>
                <w:szCs w:val="24"/>
                <w:vertAlign w:val="superscript"/>
              </w:rPr>
            </w:pPr>
            <w:r>
              <w:rPr>
                <w:rFonts w:hint="eastAsia" w:ascii="Arial" w:hAnsi="Arial" w:cs="Arial"/>
                <w:sz w:val="24"/>
                <w:szCs w:val="24"/>
                <w:lang w:val="en-US" w:eastAsia="zh-CN"/>
              </w:rPr>
              <w:t>约</w:t>
            </w:r>
            <w:r>
              <w:rPr>
                <w:rFonts w:hint="eastAsia" w:ascii="Times New Roman" w:hAnsi="Times New Roman"/>
                <w:sz w:val="24"/>
                <w:szCs w:val="24"/>
                <w:lang w:val="en-US" w:eastAsia="zh-CN"/>
              </w:rPr>
              <w:t>0.9g/cm</w:t>
            </w:r>
            <w:r>
              <w:rPr>
                <w:rFonts w:hint="eastAsia" w:ascii="Times New Roman" w:hAnsi="Times New Roman"/>
                <w:sz w:val="24"/>
                <w:szCs w:val="24"/>
                <w:vertAlign w:val="superscript"/>
                <w:lang w:val="en-US" w:eastAsia="zh-CN"/>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sz w:val="24"/>
                <w:szCs w:val="24"/>
                <w:lang w:val="en-US" w:eastAsia="zh-CN"/>
              </w:rPr>
            </w:pPr>
            <w:r>
              <w:rPr>
                <w:rFonts w:hint="eastAsia"/>
                <w:sz w:val="24"/>
                <w:szCs w:val="24"/>
                <w:lang w:val="en-US" w:eastAsia="zh-CN"/>
              </w:rPr>
              <w:t>最佳发泡温度</w:t>
            </w:r>
          </w:p>
        </w:tc>
        <w:tc>
          <w:tcPr>
            <w:tcW w:w="521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Arial" w:hAnsi="Arial" w:cs="Arial"/>
                <w:sz w:val="24"/>
                <w:szCs w:val="24"/>
                <w:lang w:val="en-US" w:eastAsia="zh-CN"/>
              </w:rPr>
            </w:pPr>
            <w:r>
              <w:rPr>
                <w:rFonts w:hint="eastAsia" w:ascii="Times New Roman" w:hAnsi="Times New Roman"/>
                <w:sz w:val="24"/>
                <w:szCs w:val="24"/>
                <w:lang w:val="en-US" w:eastAsia="zh-CN"/>
              </w:rPr>
              <w:t>135-185</w:t>
            </w:r>
            <w:r>
              <w:rPr>
                <w:rFonts w:ascii="Times New Roman" w:hAnsi="Times New Roman"/>
                <w:sz w:val="24"/>
                <w:szCs w:val="24"/>
              </w:rPr>
              <w:t>°C</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701"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安全特性：</w:t>
            </w:r>
          </w:p>
        </w:tc>
        <w:tc>
          <w:tcPr>
            <w:tcW w:w="5217"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01" w:type="dxa"/>
            <w:tcBorders>
              <w:top w:val="single" w:color="000000" w:sz="12" w:space="0"/>
              <w:left w:val="nil"/>
              <w:bottom w:val="single" w:color="000000" w:sz="12" w:space="0"/>
              <w:right w:val="nil"/>
            </w:tcBorders>
            <w:vAlign w:val="center"/>
          </w:tcPr>
          <w:p>
            <w:pPr>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single" w:color="000000" w:sz="12" w:space="0"/>
              <w:left w:val="nil"/>
              <w:bottom w:val="nil"/>
              <w:right w:val="nil"/>
            </w:tcBorders>
          </w:tcPr>
          <w:p>
            <w:pPr>
              <w:rPr>
                <w:rFonts w:ascii="Times New Roman" w:hAnsi="Times New Roman"/>
                <w:sz w:val="24"/>
                <w:szCs w:val="24"/>
              </w:rPr>
            </w:pPr>
            <w:r>
              <w:rPr>
                <w:rFonts w:hint="eastAsia" w:ascii="Times New Roman" w:hAnsi="Times New Roman"/>
                <w:sz w:val="24"/>
                <w:szCs w:val="24"/>
                <w:lang w:val="en-US" w:eastAsia="zh-CN"/>
              </w:rPr>
              <w:t>用途</w:t>
            </w:r>
            <w:r>
              <w:rPr>
                <w:rFonts w:hint="eastAsia" w:ascii="Times New Roman" w:hAnsi="Times New Roman"/>
                <w:sz w:val="24"/>
                <w:szCs w:val="24"/>
              </w:rPr>
              <w:t>：</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sz w:val="24"/>
                <w:szCs w:val="24"/>
                <w:lang w:val="en-US" w:eastAsia="zh-CN"/>
              </w:rPr>
              <w:t>Actmix MBEM304-40% 预分散微球发泡剂是一种加热后体积可迅速膨胀增大到自身的几十倍，从而达到发泡效果的发泡剂。有性能稳定、不易燃、不污染、无毒无味、对模具不腐蚀对制品不染色等优点，膨胀微球发泡剂使用简单，</w:t>
            </w:r>
            <w:r>
              <w:rPr>
                <w:rFonts w:hint="eastAsia" w:ascii="Arial" w:hAnsi="Arial" w:cs="Arial"/>
                <w:sz w:val="24"/>
                <w:szCs w:val="24"/>
                <w:lang w:val="en-US" w:eastAsia="zh-CN"/>
              </w:rPr>
              <w:t>用于降低产品的密度，达到轻量化的目的，主要用于</w:t>
            </w:r>
            <w:r>
              <w:rPr>
                <w:rFonts w:hint="eastAsia"/>
                <w:sz w:val="24"/>
                <w:szCs w:val="24"/>
                <w:lang w:val="en-US" w:eastAsia="zh-CN"/>
              </w:rPr>
              <w:t>密封条密实胶及轻量化的橡胶制品等</w:t>
            </w:r>
            <w:r>
              <w:rPr>
                <w:rFonts w:hint="eastAsia" w:ascii="Arial" w:hAnsi="Arial" w:cs="Arial"/>
                <w:sz w:val="24"/>
                <w:szCs w:val="24"/>
                <w:lang w:val="en-US" w:eastAsia="zh-CN"/>
              </w:rPr>
              <w:t>。</w:t>
            </w:r>
            <w:r>
              <w:rPr>
                <w:rFonts w:hint="eastAsia"/>
                <w:sz w:val="24"/>
                <w:szCs w:val="24"/>
                <w:lang w:val="en-US" w:eastAsia="zh-CN"/>
              </w:rPr>
              <w:t>预分散微球发泡剂同时没有粉尘飞扬，称量方便，分散性很好。</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用量：</w:t>
            </w:r>
          </w:p>
        </w:tc>
        <w:tc>
          <w:tcPr>
            <w:tcW w:w="7202"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2-10phr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single" w:color="000000" w:sz="12" w:space="0"/>
              <w:left w:val="nil"/>
              <w:bottom w:val="nil"/>
              <w:right w:val="nil"/>
            </w:tcBorders>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应用</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36" w:lineRule="auto"/>
              <w:jc w:val="left"/>
              <w:textAlignment w:val="auto"/>
              <w:rPr>
                <w:rFonts w:hint="eastAsia" w:ascii="Times New Roman" w:hAnsi="Times New Roman"/>
                <w:sz w:val="24"/>
                <w:szCs w:val="24"/>
              </w:rPr>
            </w:pPr>
            <w:r>
              <w:rPr>
                <w:rFonts w:hint="eastAsia"/>
                <w:sz w:val="24"/>
                <w:szCs w:val="24"/>
                <w:lang w:val="en-US" w:eastAsia="zh-CN"/>
              </w:rPr>
              <w:t>密封条密实胶及轻量化的橡胶制品等。</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包装：</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内衬PE袋的纸箱，每箱净重2</w:t>
            </w:r>
            <w:r>
              <w:rPr>
                <w:rFonts w:hint="eastAsia" w:ascii="Times New Roman" w:hAnsi="Times New Roman"/>
                <w:sz w:val="24"/>
                <w:szCs w:val="24"/>
                <w:lang w:val="en-US" w:eastAsia="zh-CN"/>
              </w:rPr>
              <w:t>0</w:t>
            </w:r>
            <w:r>
              <w:rPr>
                <w:rFonts w:hint="eastAsia" w:ascii="Times New Roman" w:hAnsi="Times New Roman"/>
                <w:sz w:val="24"/>
                <w:szCs w:val="24"/>
              </w:rPr>
              <w:t>KG；</w:t>
            </w:r>
            <w:r>
              <w:rPr>
                <w:rFonts w:hint="eastAsia" w:ascii="Times New Roman" w:hAnsi="Times New Roman"/>
                <w:sz w:val="24"/>
                <w:szCs w:val="24"/>
                <w:lang w:val="en-US" w:eastAsia="zh-CN"/>
              </w:rPr>
              <w:t>480</w:t>
            </w:r>
            <w:r>
              <w:rPr>
                <w:rFonts w:hint="eastAsia" w:ascii="宋体" w:hAnsi="宋体"/>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储存稳定性：</w:t>
            </w:r>
          </w:p>
        </w:tc>
        <w:tc>
          <w:tcPr>
            <w:tcW w:w="7202"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密封储存在阴凉、干燥、通风良好的地方，建议产品保存期限为</w:t>
            </w:r>
            <w:r>
              <w:rPr>
                <w:rFonts w:hint="eastAsia" w:ascii="Times New Roman" w:hAnsi="Times New Roman"/>
                <w:sz w:val="24"/>
                <w:szCs w:val="24"/>
                <w:lang w:eastAsia="zh-CN"/>
              </w:rPr>
              <w:t>两</w:t>
            </w:r>
            <w:r>
              <w:rPr>
                <w:rFonts w:hint="eastAsia" w:ascii="Times New Roman" w:hAnsi="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701"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7202"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在橡胶加工过程中化学添加剂的工作区域建议抽风排气，更进一步的处置资料请参考</w:t>
            </w:r>
            <w:r>
              <w:rPr>
                <w:rFonts w:hint="eastAsia"/>
                <w:sz w:val="24"/>
                <w:szCs w:val="24"/>
                <w:lang w:val="en-US" w:eastAsia="zh-CN"/>
              </w:rPr>
              <w:t>Actmix MBEM304-40%</w:t>
            </w:r>
            <w:r>
              <w:rPr>
                <w:rFonts w:hint="eastAsia" w:ascii="Times New Roman" w:hAnsi="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bookmarkStart w:id="0" w:name="_GoBack"/>
            <w:bookmarkEnd w:id="0"/>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03" w:type="dxa"/>
            <w:gridSpan w:val="4"/>
            <w:tcBorders>
              <w:top w:val="nil"/>
              <w:left w:val="nil"/>
              <w:bottom w:val="nil"/>
              <w:right w:val="nil"/>
            </w:tcBorders>
            <w:shd w:val="clear" w:color="auto" w:fill="00CC00"/>
            <w:vAlign w:val="center"/>
          </w:tcPr>
          <w:p>
            <w:pPr>
              <w:rPr>
                <w:rFonts w:ascii="Arial" w:hAnsi="Arial" w:cs="Arial"/>
                <w:b/>
                <w:bCs/>
                <w:color w:val="FFFFFF"/>
                <w:sz w:val="24"/>
                <w:szCs w:val="24"/>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MBEM304-40%</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54-3</w:t>
      </w:r>
    </w:p>
    <w:sectPr>
      <w:headerReference r:id="rId3" w:type="default"/>
      <w:footerReference r:id="rId4" w:type="default"/>
      <w:pgSz w:w="11906" w:h="16838"/>
      <w:pgMar w:top="1440" w:right="1800" w:bottom="1440" w:left="1800" w:header="1134" w:footer="116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1D210235"/>
    <w:rsid w:val="2184267D"/>
    <w:rsid w:val="28072B90"/>
    <w:rsid w:val="2DF249EE"/>
    <w:rsid w:val="35695FC9"/>
    <w:rsid w:val="39B22608"/>
    <w:rsid w:val="43825436"/>
    <w:rsid w:val="4383152C"/>
    <w:rsid w:val="441455BD"/>
    <w:rsid w:val="4A381337"/>
    <w:rsid w:val="4C422A9E"/>
    <w:rsid w:val="4EC72333"/>
    <w:rsid w:val="55F02EDD"/>
    <w:rsid w:val="680050A2"/>
    <w:rsid w:val="72BE220F"/>
    <w:rsid w:val="78771C2C"/>
    <w:rsid w:val="7B8E3752"/>
    <w:rsid w:val="7BCD1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798</Characters>
  <Lines>6</Lines>
  <Paragraphs>1</Paragraphs>
  <TotalTime>4</TotalTime>
  <ScaleCrop>false</ScaleCrop>
  <LinksUpToDate>false</LinksUpToDate>
  <CharactersWithSpaces>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2021-03-06T03:39:33Z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