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514"/>
        <w:tblOverlap w:val="never"/>
        <w:tblW w:w="8903" w:type="dxa"/>
        <w:jc w:val="center"/>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4"/>
        <w:gridCol w:w="1239"/>
        <w:gridCol w:w="669"/>
        <w:gridCol w:w="5051"/>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3183" w:type="dxa"/>
            <w:gridSpan w:val="2"/>
            <w:tcBorders>
              <w:top w:val="single" w:color="000000" w:sz="12" w:space="0"/>
              <w:bottom w:val="single" w:color="000000" w:sz="12" w:space="0"/>
              <w:right w:val="nil"/>
            </w:tcBorders>
            <w:vAlign w:val="center"/>
          </w:tcPr>
          <w:p>
            <w:pPr>
              <w:rPr>
                <w:rFonts w:hint="default" w:ascii="Arial" w:hAnsi="Arial" w:eastAsia="宋体" w:cs="Arial"/>
                <w:b/>
                <w:sz w:val="30"/>
                <w:szCs w:val="30"/>
                <w:lang w:val="en-US" w:eastAsia="zh-CN"/>
              </w:rPr>
            </w:pPr>
            <w:r>
              <w:rPr>
                <w:rFonts w:ascii="Arial" w:hAnsi="Arial" w:cs="Arial"/>
                <w:b/>
                <w:sz w:val="30"/>
                <w:szCs w:val="30"/>
              </w:rPr>
              <w:t>Actmix</w:t>
            </w:r>
            <w:r>
              <w:rPr>
                <w:rFonts w:hint="eastAsia" w:ascii="Arial" w:hAnsi="Arial" w:cs="Arial"/>
                <w:b/>
                <w:sz w:val="30"/>
                <w:szCs w:val="30"/>
                <w:lang w:val="en-US" w:eastAsia="zh-CN"/>
              </w:rPr>
              <w:t xml:space="preserve"> OD/GE</w:t>
            </w:r>
          </w:p>
        </w:tc>
        <w:tc>
          <w:tcPr>
            <w:tcW w:w="5720" w:type="dxa"/>
            <w:gridSpan w:val="2"/>
            <w:tcBorders>
              <w:top w:val="single" w:color="000000" w:sz="12" w:space="0"/>
              <w:left w:val="nil"/>
              <w:bottom w:val="single" w:color="000000" w:sz="12" w:space="0"/>
            </w:tcBorders>
            <w:vAlign w:val="center"/>
          </w:tcPr>
          <w:p>
            <w:pPr>
              <w:rPr>
                <w:rFonts w:ascii="Times New Roman" w:hAnsi="Times New Roman"/>
                <w:sz w:val="30"/>
                <w:szCs w:val="30"/>
              </w:rPr>
            </w:pPr>
            <w:r>
              <w:rPr>
                <w:rFonts w:hint="eastAsia" w:ascii="Times New Roman" w:hAnsi="Times New Roman"/>
                <w:sz w:val="30"/>
                <w:szCs w:val="30"/>
              </w:rPr>
              <w:t xml:space="preserve">   </w:t>
            </w: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eastAsia="zh-CN"/>
              </w:rPr>
              <w:t>发泡</w:t>
            </w:r>
            <w:r>
              <w:rPr>
                <w:rFonts w:hint="eastAsia" w:ascii="Times New Roman" w:hAnsi="Times New Roman"/>
                <w:sz w:val="30"/>
                <w:szCs w:val="30"/>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4"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功能</w:t>
            </w:r>
          </w:p>
        </w:tc>
        <w:tc>
          <w:tcPr>
            <w:tcW w:w="6959" w:type="dxa"/>
            <w:gridSpan w:val="3"/>
            <w:tcBorders>
              <w:top w:val="single" w:color="000000" w:sz="12" w:space="0"/>
              <w:left w:val="nil"/>
              <w:bottom w:val="single" w:color="000000" w:sz="12" w:space="0"/>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lang w:eastAsia="zh-CN"/>
              </w:rPr>
              <w:t>发泡</w:t>
            </w:r>
            <w:r>
              <w:rPr>
                <w:rFonts w:hint="eastAsia" w:ascii="Times New Roman" w:hAnsi="Times New Roman"/>
                <w:sz w:val="24"/>
                <w:szCs w:val="24"/>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944"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1908" w:type="dxa"/>
            <w:gridSpan w:val="2"/>
            <w:tcBorders>
              <w:top w:val="single" w:color="000000" w:sz="12" w:space="0"/>
              <w:left w:val="nil"/>
              <w:bottom w:val="nil"/>
              <w:right w:val="nil"/>
            </w:tcBorders>
          </w:tcPr>
          <w:p>
            <w:pPr>
              <w:spacing w:line="269" w:lineRule="auto"/>
              <w:rPr>
                <w:rFonts w:ascii="Times New Roman" w:hAnsi="Times New Roman"/>
                <w:sz w:val="24"/>
                <w:szCs w:val="24"/>
              </w:rPr>
            </w:pPr>
            <w:r>
              <w:rPr>
                <w:rFonts w:hint="eastAsia" w:ascii="Times New Roman" w:hAnsi="Times New Roman"/>
                <w:sz w:val="24"/>
                <w:szCs w:val="24"/>
              </w:rPr>
              <w:t>组成：</w:t>
            </w:r>
          </w:p>
        </w:tc>
        <w:tc>
          <w:tcPr>
            <w:tcW w:w="5051" w:type="dxa"/>
            <w:tcBorders>
              <w:top w:val="single" w:color="000000" w:sz="12" w:space="0"/>
              <w:left w:val="nil"/>
              <w:bottom w:val="nil"/>
              <w:right w:val="nil"/>
            </w:tcBorders>
          </w:tcPr>
          <w:p>
            <w:pPr>
              <w:spacing w:line="269" w:lineRule="auto"/>
              <w:rPr>
                <w:rFonts w:ascii="Times New Roman" w:hAnsi="Times New Roman"/>
                <w:sz w:val="24"/>
                <w:szCs w:val="24"/>
              </w:rPr>
            </w:pPr>
            <w:r>
              <w:rPr>
                <w:rFonts w:hint="eastAsia"/>
                <w:sz w:val="24"/>
                <w:szCs w:val="24"/>
                <w:lang w:val="en-US" w:eastAsia="zh-CN"/>
              </w:rPr>
              <w:t>50</w:t>
            </w:r>
            <w:r>
              <w:rPr>
                <w:rFonts w:hint="eastAsia"/>
                <w:sz w:val="24"/>
                <w:szCs w:val="24"/>
              </w:rPr>
              <w:t>%的</w:t>
            </w:r>
            <w:r>
              <w:rPr>
                <w:rFonts w:hint="eastAsia"/>
                <w:sz w:val="24"/>
                <w:szCs w:val="24"/>
                <w:lang w:eastAsia="zh-CN"/>
              </w:rPr>
              <w:t>发泡剂以及</w:t>
            </w:r>
            <w:r>
              <w:rPr>
                <w:rFonts w:hint="eastAsia"/>
                <w:sz w:val="24"/>
                <w:szCs w:val="24"/>
                <w:lang w:val="en-US" w:eastAsia="zh-CN"/>
              </w:rPr>
              <w:t>50</w:t>
            </w:r>
            <w:r>
              <w:rPr>
                <w:rFonts w:hint="eastAsia"/>
                <w:sz w:val="24"/>
                <w:szCs w:val="24"/>
              </w:rPr>
              <w:t>%橡胶</w:t>
            </w:r>
            <w:r>
              <w:rPr>
                <w:rFonts w:hint="eastAsia"/>
                <w:sz w:val="24"/>
                <w:szCs w:val="24"/>
                <w:lang w:eastAsia="zh-CN"/>
              </w:rPr>
              <w:t>预分散</w:t>
            </w:r>
            <w:r>
              <w:rPr>
                <w:rFonts w:hint="eastAsia"/>
                <w:sz w:val="24"/>
                <w:szCs w:val="24"/>
              </w:rPr>
              <w:t>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外观：</w:t>
            </w:r>
          </w:p>
        </w:tc>
        <w:tc>
          <w:tcPr>
            <w:tcW w:w="5051" w:type="dxa"/>
            <w:tcBorders>
              <w:top w:val="nil"/>
              <w:left w:val="nil"/>
              <w:bottom w:val="nil"/>
              <w:right w:val="nil"/>
            </w:tcBorders>
            <w:vAlign w:val="center"/>
          </w:tcPr>
          <w:p>
            <w:pPr>
              <w:spacing w:line="269" w:lineRule="auto"/>
              <w:rPr>
                <w:rFonts w:ascii="Times New Roman" w:hAnsi="Times New Roman"/>
                <w:sz w:val="24"/>
                <w:szCs w:val="24"/>
              </w:rPr>
            </w:pPr>
            <w:bookmarkStart w:id="0" w:name="_GoBack"/>
            <w:r>
              <w:rPr>
                <w:rFonts w:hint="eastAsia" w:ascii="Times New Roman" w:hAnsi="Times New Roman"/>
                <w:sz w:val="24"/>
                <w:szCs w:val="24"/>
                <w:lang w:val="en-US" w:eastAsia="zh-CN"/>
              </w:rPr>
              <w:t>白色至淡黄色颗粒</w:t>
            </w:r>
            <w:bookmarkEnd w:id="0"/>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spacing w:line="269"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 xml:space="preserve">密度（20 </w:t>
            </w:r>
            <w:r>
              <w:rPr>
                <w:rFonts w:ascii="Times New Roman" w:hAnsi="Times New Roman"/>
                <w:color w:val="000000" w:themeColor="text1"/>
                <w:sz w:val="24"/>
                <w:szCs w:val="24"/>
              </w:rPr>
              <w:t>°C</w:t>
            </w:r>
            <w:r>
              <w:rPr>
                <w:rFonts w:hint="eastAsia" w:ascii="Times New Roman" w:hAnsi="Times New Roman"/>
                <w:color w:val="000000" w:themeColor="text1"/>
                <w:sz w:val="24"/>
                <w:szCs w:val="24"/>
              </w:rPr>
              <w:t>）：</w:t>
            </w:r>
          </w:p>
        </w:tc>
        <w:tc>
          <w:tcPr>
            <w:tcW w:w="5051" w:type="dxa"/>
            <w:tcBorders>
              <w:top w:val="nil"/>
              <w:left w:val="nil"/>
              <w:bottom w:val="nil"/>
              <w:right w:val="nil"/>
            </w:tcBorders>
            <w:vAlign w:val="center"/>
          </w:tcPr>
          <w:p>
            <w:pPr>
              <w:spacing w:line="269" w:lineRule="auto"/>
              <w:rPr>
                <w:rFonts w:hint="eastAsia"/>
                <w:sz w:val="24"/>
                <w:szCs w:val="24"/>
                <w:lang w:val="en-US" w:eastAsia="zh-CN"/>
              </w:rPr>
            </w:pPr>
            <w:r>
              <w:rPr>
                <w:rFonts w:hint="eastAsia"/>
                <w:sz w:val="24"/>
                <w:szCs w:val="24"/>
                <w:lang w:val="en-US" w:eastAsia="zh-CN"/>
              </w:rPr>
              <w:t>约1.2g/cm</w:t>
            </w:r>
            <w:r>
              <w:rPr>
                <w:rFonts w:hint="eastAsia"/>
                <w:sz w:val="24"/>
                <w:szCs w:val="24"/>
                <w:vertAlign w:val="superscript"/>
                <w:lang w:val="en-US" w:eastAsia="zh-CN"/>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spacing w:line="269" w:lineRule="auto"/>
              <w:rPr>
                <w:rFonts w:hint="eastAsia" w:ascii="Times New Roman" w:hAnsi="Times New Roman" w:eastAsia="宋体"/>
                <w:color w:val="000000" w:themeColor="text1"/>
                <w:sz w:val="24"/>
                <w:szCs w:val="24"/>
                <w:lang w:eastAsia="zh-CN"/>
              </w:rPr>
            </w:pPr>
            <w:r>
              <w:rPr>
                <w:rFonts w:hint="eastAsia" w:ascii="Times New Roman" w:hAnsi="Times New Roman"/>
                <w:color w:val="000000" w:themeColor="text1"/>
                <w:sz w:val="24"/>
                <w:szCs w:val="24"/>
                <w:lang w:eastAsia="zh-CN"/>
              </w:rPr>
              <w:t>最佳发泡温度</w:t>
            </w:r>
          </w:p>
        </w:tc>
        <w:tc>
          <w:tcPr>
            <w:tcW w:w="5051" w:type="dxa"/>
            <w:tcBorders>
              <w:top w:val="nil"/>
              <w:left w:val="nil"/>
              <w:bottom w:val="nil"/>
              <w:right w:val="nil"/>
            </w:tcBorders>
            <w:vAlign w:val="center"/>
          </w:tcPr>
          <w:p>
            <w:pPr>
              <w:spacing w:line="269" w:lineRule="auto"/>
              <w:rPr>
                <w:rFonts w:hint="default"/>
                <w:sz w:val="24"/>
                <w:szCs w:val="24"/>
                <w:lang w:val="en-US" w:eastAsia="zh-CN"/>
              </w:rPr>
            </w:pPr>
            <w:r>
              <w:rPr>
                <w:rFonts w:hint="eastAsia"/>
                <w:sz w:val="24"/>
                <w:szCs w:val="24"/>
                <w:lang w:val="en-US" w:eastAsia="zh-CN"/>
              </w:rPr>
              <w:t>130-150℃</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44"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single" w:color="000000" w:sz="12" w:space="0"/>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安全特性：</w:t>
            </w:r>
          </w:p>
        </w:tc>
        <w:tc>
          <w:tcPr>
            <w:tcW w:w="5051" w:type="dxa"/>
            <w:tcBorders>
              <w:top w:val="nil"/>
              <w:left w:val="nil"/>
              <w:bottom w:val="single" w:color="000000" w:sz="12" w:space="0"/>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44"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应用资料</w:t>
            </w:r>
          </w:p>
        </w:tc>
        <w:tc>
          <w:tcPr>
            <w:tcW w:w="6959" w:type="dxa"/>
            <w:gridSpan w:val="3"/>
            <w:tcBorders>
              <w:top w:val="single" w:color="000000" w:sz="12" w:space="0"/>
              <w:left w:val="nil"/>
              <w:bottom w:val="single" w:color="000000" w:sz="12" w:space="0"/>
              <w:right w:val="nil"/>
            </w:tcBorders>
            <w:vAlign w:val="center"/>
          </w:tcPr>
          <w:p>
            <w:pPr>
              <w:spacing w:line="269" w:lineRule="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tcPr>
          <w:p>
            <w:pPr>
              <w:rPr>
                <w:rFonts w:ascii="Times New Roman" w:hAnsi="Times New Roman"/>
                <w:sz w:val="24"/>
                <w:szCs w:val="24"/>
              </w:rPr>
            </w:pPr>
            <w:r>
              <w:rPr>
                <w:rFonts w:hint="eastAsia" w:ascii="Times New Roman" w:hAnsi="Times New Roman"/>
                <w:sz w:val="24"/>
                <w:szCs w:val="24"/>
              </w:rPr>
              <w:t>用途：</w:t>
            </w:r>
          </w:p>
        </w:tc>
        <w:tc>
          <w:tcPr>
            <w:tcW w:w="6959" w:type="dxa"/>
            <w:gridSpan w:val="3"/>
            <w:tcBorders>
              <w:top w:val="single" w:color="000000" w:sz="12" w:space="0"/>
              <w:left w:val="nil"/>
              <w:bottom w:val="nil"/>
              <w:right w:val="nil"/>
            </w:tcBorders>
            <w:vAlign w:val="center"/>
          </w:tcPr>
          <w:p>
            <w:pPr>
              <w:spacing w:line="360" w:lineRule="auto"/>
              <w:jc w:val="lef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 xml:space="preserve">Actmix OD/GE </w:t>
            </w:r>
            <w:r>
              <w:rPr>
                <w:rFonts w:hint="eastAsia" w:ascii="Arial" w:hAnsi="Arial" w:cs="Arial"/>
                <w:sz w:val="24"/>
                <w:szCs w:val="24"/>
              </w:rPr>
              <w:t>是</w:t>
            </w:r>
            <w:r>
              <w:rPr>
                <w:rFonts w:hint="eastAsia" w:ascii="Arial" w:hAnsi="Arial" w:cs="Arial"/>
                <w:sz w:val="24"/>
                <w:szCs w:val="24"/>
                <w:lang w:eastAsia="zh-CN"/>
              </w:rPr>
              <w:t>一种化学发泡与物理发泡相配合的</w:t>
            </w:r>
            <w:r>
              <w:rPr>
                <w:rFonts w:hint="eastAsia" w:ascii="ArialMT" w:hAnsi="ArialMT" w:eastAsia="ArialMT"/>
                <w:sz w:val="24"/>
                <w:szCs w:val="24"/>
                <w:lang w:val="en-US" w:eastAsia="zh-CN"/>
              </w:rPr>
              <w:t>预分散</w:t>
            </w:r>
            <w:r>
              <w:rPr>
                <w:rFonts w:hint="eastAsia" w:ascii="Arial" w:hAnsi="Arial" w:cs="Arial"/>
                <w:sz w:val="24"/>
                <w:szCs w:val="24"/>
              </w:rPr>
              <w:t>发泡剂</w:t>
            </w:r>
            <w:r>
              <w:rPr>
                <w:rFonts w:hint="eastAsia" w:ascii="Arial" w:hAnsi="Arial" w:cs="Arial"/>
                <w:sz w:val="24"/>
                <w:szCs w:val="24"/>
                <w:lang w:eastAsia="zh-CN"/>
              </w:rPr>
              <w:t>，能够使发泡制品孔径细致均匀</w:t>
            </w:r>
            <w:r>
              <w:rPr>
                <w:rFonts w:hint="eastAsia" w:ascii="Arial" w:hAnsi="Arial" w:cs="Arial"/>
                <w:sz w:val="24"/>
                <w:szCs w:val="24"/>
              </w:rPr>
              <w:t>。</w:t>
            </w:r>
            <w:r>
              <w:rPr>
                <w:rFonts w:hint="eastAsia" w:ascii="Arial" w:hAnsi="Arial" w:cs="Arial"/>
                <w:sz w:val="24"/>
                <w:szCs w:val="24"/>
                <w:lang w:eastAsia="zh-CN"/>
              </w:rPr>
              <w:t>具有性能稳定、不易燃、不污染、无毒无味、对模具不腐蚀对制品不染色等优点。</w:t>
            </w:r>
            <w:r>
              <w:rPr>
                <w:rFonts w:hint="eastAsia" w:ascii="Times New Roman" w:hAnsi="Times New Roman"/>
                <w:sz w:val="24"/>
                <w:szCs w:val="24"/>
                <w:lang w:val="en-US" w:eastAsia="zh-CN"/>
              </w:rPr>
              <w:t>使制品形成细微、优质、均匀的气孔结构，不产生氨气，不腐蚀模具。适用于天然橡胶和各种合成橡胶，如EPDM、SBR、CR、FKM、IIR等。同样适用于热塑性塑料及橡塑共混发泡材料中。</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用量：</w:t>
            </w:r>
          </w:p>
        </w:tc>
        <w:tc>
          <w:tcPr>
            <w:tcW w:w="6959" w:type="dxa"/>
            <w:gridSpan w:val="3"/>
            <w:tcBorders>
              <w:top w:val="nil"/>
              <w:left w:val="nil"/>
              <w:bottom w:val="nil"/>
              <w:right w:val="nil"/>
            </w:tcBorders>
            <w:vAlign w:val="center"/>
          </w:tcPr>
          <w:p>
            <w:pPr>
              <w:spacing w:line="269" w:lineRule="auto"/>
              <w:rPr>
                <w:rFonts w:ascii="Times New Roman" w:hAnsi="Times New Roman"/>
                <w:sz w:val="24"/>
                <w:szCs w:val="24"/>
              </w:rPr>
            </w:pPr>
            <w:r>
              <w:rPr>
                <w:rFonts w:hint="eastAsia" w:ascii="Times New Roman" w:hAnsi="Times New Roman"/>
                <w:sz w:val="24"/>
                <w:szCs w:val="24"/>
                <w:highlight w:val="none"/>
              </w:rPr>
              <w:t>3</w:t>
            </w:r>
            <w:r>
              <w:rPr>
                <w:rFonts w:ascii="Times New Roman" w:hAnsi="Times New Roman"/>
                <w:sz w:val="24"/>
                <w:szCs w:val="24"/>
                <w:highlight w:val="none"/>
              </w:rPr>
              <w:t>-</w:t>
            </w:r>
            <w:r>
              <w:rPr>
                <w:rFonts w:hint="eastAsia" w:ascii="Times New Roman" w:hAnsi="Times New Roman"/>
                <w:sz w:val="24"/>
                <w:szCs w:val="24"/>
                <w:highlight w:val="none"/>
              </w:rPr>
              <w:t>8</w:t>
            </w:r>
            <w:r>
              <w:rPr>
                <w:rFonts w:ascii="Times New Roman" w:hAnsi="Times New Roman"/>
                <w:sz w:val="24"/>
                <w:szCs w:val="24"/>
                <w:highlight w:val="none"/>
              </w:rPr>
              <w:t>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应用</w:t>
            </w:r>
          </w:p>
        </w:tc>
        <w:tc>
          <w:tcPr>
            <w:tcW w:w="6959" w:type="dxa"/>
            <w:gridSpan w:val="3"/>
            <w:tcBorders>
              <w:top w:val="single" w:color="000000" w:sz="12" w:space="0"/>
              <w:left w:val="nil"/>
              <w:bottom w:val="nil"/>
              <w:right w:val="nil"/>
            </w:tcBorders>
            <w:vAlign w:val="center"/>
          </w:tcPr>
          <w:p>
            <w:pPr>
              <w:jc w:val="left"/>
              <w:rPr>
                <w:rFonts w:ascii="Times New Roman" w:hAnsi="Times New Roman"/>
                <w:sz w:val="24"/>
                <w:szCs w:val="24"/>
              </w:rPr>
            </w:pPr>
            <w:r>
              <w:rPr>
                <w:rFonts w:hint="eastAsia" w:ascii="Times New Roman" w:hAnsi="Times New Roman"/>
                <w:sz w:val="24"/>
                <w:szCs w:val="24"/>
                <w:lang w:eastAsia="zh-CN"/>
              </w:rPr>
              <w:t>适用于所有发泡或发泡橡胶制品中</w:t>
            </w:r>
            <w:r>
              <w:rPr>
                <w:rFonts w:hint="eastAsia" w:ascii="Times New Roman" w:hAnsi="Times New Roman"/>
                <w:sz w:val="24"/>
                <w:szCs w:val="24"/>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vAlign w:val="center"/>
          </w:tcPr>
          <w:p>
            <w:pPr>
              <w:spacing w:line="360" w:lineRule="auto"/>
              <w:rPr>
                <w:rFonts w:ascii="Times New Roman" w:hAnsi="Times New Roman"/>
                <w:sz w:val="24"/>
                <w:szCs w:val="24"/>
              </w:rPr>
            </w:pPr>
            <w:r>
              <w:rPr>
                <w:rFonts w:hint="eastAsia" w:ascii="Times New Roman" w:hAnsi="Times New Roman"/>
                <w:sz w:val="24"/>
                <w:szCs w:val="24"/>
              </w:rPr>
              <w:t>包装：</w:t>
            </w:r>
          </w:p>
        </w:tc>
        <w:tc>
          <w:tcPr>
            <w:tcW w:w="6959" w:type="dxa"/>
            <w:gridSpan w:val="3"/>
            <w:tcBorders>
              <w:top w:val="single" w:color="000000" w:sz="12" w:space="0"/>
              <w:left w:val="nil"/>
              <w:bottom w:val="nil"/>
              <w:right w:val="nil"/>
            </w:tcBorders>
            <w:vAlign w:val="center"/>
          </w:tcPr>
          <w:p>
            <w:pPr>
              <w:spacing w:line="360" w:lineRule="auto"/>
              <w:jc w:val="left"/>
              <w:rPr>
                <w:rFonts w:ascii="Times New Roman" w:hAnsi="Times New Roman"/>
                <w:sz w:val="24"/>
                <w:szCs w:val="24"/>
              </w:rPr>
            </w:pPr>
            <w:r>
              <w:rPr>
                <w:rFonts w:hint="eastAsia" w:ascii="Times New Roman" w:hAnsi="Times New Roman"/>
                <w:sz w:val="24"/>
                <w:szCs w:val="24"/>
              </w:rPr>
              <w:t>内衬PE袋的纸箱，每箱净重25KG；1000</w:t>
            </w:r>
            <w:r>
              <w:rPr>
                <w:rFonts w:hint="eastAsia" w:ascii="宋体" w:hAnsi="宋体"/>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944" w:type="dxa"/>
            <w:tcBorders>
              <w:top w:val="nil"/>
              <w:left w:val="nil"/>
              <w:bottom w:val="nil"/>
              <w:right w:val="nil"/>
            </w:tcBorders>
          </w:tcPr>
          <w:p>
            <w:pPr>
              <w:spacing w:line="360" w:lineRule="auto"/>
              <w:rPr>
                <w:rFonts w:ascii="Times New Roman" w:hAnsi="Times New Roman"/>
                <w:sz w:val="24"/>
                <w:szCs w:val="24"/>
              </w:rPr>
            </w:pPr>
            <w:r>
              <w:rPr>
                <w:rFonts w:hint="eastAsia" w:ascii="Times New Roman" w:hAnsi="Times New Roman"/>
                <w:sz w:val="24"/>
                <w:szCs w:val="24"/>
              </w:rPr>
              <w:t>储存稳定性：</w:t>
            </w:r>
          </w:p>
        </w:tc>
        <w:tc>
          <w:tcPr>
            <w:tcW w:w="6959" w:type="dxa"/>
            <w:gridSpan w:val="3"/>
            <w:tcBorders>
              <w:top w:val="nil"/>
              <w:left w:val="nil"/>
              <w:bottom w:val="nil"/>
              <w:right w:val="nil"/>
            </w:tcBorders>
            <w:vAlign w:val="center"/>
          </w:tcPr>
          <w:p>
            <w:pPr>
              <w:spacing w:line="360" w:lineRule="auto"/>
              <w:jc w:val="left"/>
              <w:rPr>
                <w:rFonts w:ascii="Times New Roman" w:hAnsi="Times New Roman"/>
                <w:sz w:val="24"/>
                <w:szCs w:val="24"/>
              </w:rPr>
            </w:pPr>
            <w:r>
              <w:rPr>
                <w:rFonts w:hint="eastAsia" w:ascii="Times New Roman" w:hAnsi="Times New Roman"/>
                <w:sz w:val="24"/>
                <w:szCs w:val="24"/>
              </w:rPr>
              <w:t>密封储存在阴凉、干燥、通风良好的地方，建议产品保存期限为</w:t>
            </w:r>
            <w:r>
              <w:rPr>
                <w:rFonts w:hint="eastAsia" w:ascii="Times New Roman" w:hAnsi="Times New Roman"/>
                <w:sz w:val="24"/>
                <w:szCs w:val="24"/>
                <w:lang w:eastAsia="zh-CN"/>
              </w:rPr>
              <w:t>两</w:t>
            </w:r>
            <w:r>
              <w:rPr>
                <w:rFonts w:hint="eastAsia" w:ascii="Times New Roman" w:hAnsi="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6959" w:type="dxa"/>
            <w:gridSpan w:val="3"/>
            <w:tcBorders>
              <w:top w:val="nil"/>
              <w:left w:val="nil"/>
              <w:bottom w:val="single" w:color="000000" w:sz="12" w:space="0"/>
              <w:right w:val="nil"/>
            </w:tcBorders>
            <w:vAlign w:val="center"/>
          </w:tcPr>
          <w:p>
            <w:pPr>
              <w:spacing w:line="360" w:lineRule="auto"/>
              <w:jc w:val="left"/>
              <w:rPr>
                <w:rFonts w:ascii="Times New Roman" w:hAnsi="Times New Roman"/>
                <w:sz w:val="24"/>
                <w:szCs w:val="24"/>
              </w:rPr>
            </w:pPr>
            <w:r>
              <w:rPr>
                <w:rFonts w:hint="eastAsia" w:ascii="Times New Roman" w:hAnsi="Times New Roman"/>
                <w:sz w:val="24"/>
                <w:szCs w:val="24"/>
              </w:rPr>
              <w:t>在橡胶加工过程中化学添加剂的工作区域建议抽风排气，更进一步的处置资料请参考</w:t>
            </w:r>
            <w:r>
              <w:rPr>
                <w:rFonts w:hint="eastAsia" w:ascii="Times New Roman" w:hAnsi="Times New Roman"/>
                <w:sz w:val="24"/>
                <w:szCs w:val="24"/>
                <w:lang w:val="en-US" w:eastAsia="zh-CN"/>
              </w:rPr>
              <w:t>Actmix OD/GE</w:t>
            </w:r>
            <w:r>
              <w:rPr>
                <w:rFonts w:hint="eastAsia" w:ascii="Times New Roman" w:hAnsi="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903" w:type="dxa"/>
            <w:gridSpan w:val="4"/>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03" w:type="dxa"/>
            <w:gridSpan w:val="4"/>
            <w:tcBorders>
              <w:top w:val="nil"/>
              <w:left w:val="nil"/>
              <w:bottom w:val="nil"/>
              <w:right w:val="nil"/>
            </w:tcBorders>
            <w:shd w:val="clear" w:color="auto" w:fill="00CC00"/>
            <w:vAlign w:val="center"/>
          </w:tcPr>
          <w:p>
            <w:pPr>
              <w:rPr>
                <w:rFonts w:ascii="Arial" w:hAnsi="Arial" w:cs="Arial"/>
                <w:b/>
                <w:bCs/>
                <w:color w:val="FFFFFF"/>
                <w:sz w:val="24"/>
                <w:szCs w:val="24"/>
              </w:rPr>
            </w:pPr>
            <w:r>
              <w:rPr>
                <w:rFonts w:ascii="Arial" w:hAnsi="Arial" w:cs="Arial"/>
                <w:b/>
                <w:bCs/>
                <w:color w:val="FFFFFF"/>
                <w:sz w:val="24"/>
                <w:szCs w:val="24"/>
              </w:rPr>
              <w:t>Actmix</w:t>
            </w:r>
            <w:r>
              <w:rPr>
                <w:rFonts w:hint="eastAsia" w:ascii="Arial" w:hAnsi="Arial" w:cs="Arial"/>
                <w:b/>
                <w:bCs/>
                <w:color w:val="FFFFFF"/>
                <w:sz w:val="24"/>
                <w:szCs w:val="24"/>
                <w:lang w:val="en-US" w:eastAsia="zh-CN"/>
              </w:rPr>
              <w:t xml:space="preserve">  OD/GE</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 w:val="24"/>
                <w:szCs w:val="24"/>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版本1.4</w:t>
            </w:r>
          </w:p>
        </w:tc>
      </w:tr>
    </w:tbl>
    <w:p>
      <w:pPr>
        <w:spacing w:line="360" w:lineRule="auto"/>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rPr>
        <w:t xml:space="preserve">ACT </w:t>
      </w:r>
      <w:r>
        <w:rPr>
          <w:rFonts w:hint="eastAsia" w:ascii="Times New Roman" w:hAnsi="Times New Roman"/>
          <w:sz w:val="24"/>
          <w:szCs w:val="24"/>
          <w:highlight w:val="none"/>
          <w:lang w:val="en-US" w:eastAsia="zh-CN"/>
        </w:rPr>
        <w:t>54-4</w:t>
      </w:r>
    </w:p>
    <w:sectPr>
      <w:headerReference r:id="rId3" w:type="default"/>
      <w:footerReference r:id="rId4" w:type="default"/>
      <w:pgSz w:w="11906" w:h="16838"/>
      <w:pgMar w:top="1440" w:right="1800" w:bottom="1440" w:left="1800" w:header="1134" w:footer="116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MT">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宁波艾克姆新材料</w:t>
    </w:r>
    <w:r>
      <w:rPr>
        <w:rFonts w:hint="eastAsia" w:ascii="Arial" w:hAnsi="Arial" w:eastAsia="新宋体" w:cs="Arial"/>
        <w:b/>
        <w:color w:val="008000"/>
        <w:sz w:val="44"/>
        <w:szCs w:val="44"/>
        <w:lang w:eastAsia="zh-CN"/>
      </w:rPr>
      <w:t>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rPr>
      <w:t>电话：</w:t>
    </w:r>
    <w:r>
      <w:rPr>
        <w:rFonts w:hint="eastAsia" w:ascii="Arial" w:hAnsi="Arial" w:cs="Arial"/>
        <w:color w:val="008000"/>
      </w:rPr>
      <w:t>0</w:t>
    </w:r>
    <w:r>
      <w:rPr>
        <w:rFonts w:ascii="Arial" w:hAnsi="Arial" w:cs="Arial"/>
        <w:color w:val="008000"/>
      </w:rPr>
      <w:t>574-</w:t>
    </w:r>
    <w:r>
      <w:rPr>
        <w:rFonts w:hint="eastAsia" w:ascii="Arial" w:hAnsi="Arial" w:cs="Arial"/>
        <w:color w:val="008000"/>
      </w:rPr>
      <w:t xml:space="preserve">87468726  </w:t>
    </w:r>
    <w:r>
      <w:rPr>
        <w:rFonts w:hint="eastAsia" w:ascii="Arial" w:hAnsi="Arial" w:cs="Arial"/>
        <w:color w:val="008000"/>
        <w:kern w:val="0"/>
      </w:rPr>
      <w:t>传真：</w:t>
    </w:r>
    <w:r>
      <w:rPr>
        <w:rFonts w:ascii="Arial" w:hAnsi="Arial" w:cs="Arial"/>
        <w:color w:val="008000"/>
      </w:rPr>
      <w:t>0574-</w:t>
    </w:r>
    <w:r>
      <w:rPr>
        <w:rFonts w:hint="eastAsia" w:ascii="Arial" w:hAnsi="Arial" w:cs="Arial"/>
        <w:color w:val="008000"/>
      </w:rPr>
      <w:t>88002102  Email：dychem@actmix.cn  网址：</w:t>
    </w:r>
    <w:r>
      <w:rPr>
        <w:rFonts w:ascii="Arial" w:hAnsi="Arial" w:cs="Arial"/>
        <w:color w:val="008000"/>
        <w:kern w:val="0"/>
      </w:rPr>
      <w:t>www.actmix.</w:t>
    </w:r>
    <w:r>
      <w:rPr>
        <w:rFonts w:hint="eastAsia" w:ascii="Arial" w:hAnsi="Arial" w:cs="Arial"/>
        <w:color w:val="008000"/>
        <w:kern w:val="0"/>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Arial" w:hAnsi="Arial" w:cs="Arial"/>
        <w:sz w:val="30"/>
        <w:szCs w:val="30"/>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rPr>
      <w:t xml:space="preserve"> </w:t>
    </w:r>
  </w:p>
  <w:p>
    <w:pPr>
      <w:pStyle w:val="4"/>
      <w:pBdr>
        <w:bottom w:val="none" w:color="auto" w:sz="0" w:space="1"/>
      </w:pBdr>
      <w:jc w:val="left"/>
      <w:rPr>
        <w:rFonts w:ascii="Arial" w:hAnsi="Arial" w:cs="Arial"/>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23DF"/>
    <w:rsid w:val="000E5938"/>
    <w:rsid w:val="00172A27"/>
    <w:rsid w:val="0024558C"/>
    <w:rsid w:val="0025454F"/>
    <w:rsid w:val="00324E45"/>
    <w:rsid w:val="00681409"/>
    <w:rsid w:val="006D5AEB"/>
    <w:rsid w:val="0073614F"/>
    <w:rsid w:val="00752808"/>
    <w:rsid w:val="007E614D"/>
    <w:rsid w:val="00800B33"/>
    <w:rsid w:val="008031FF"/>
    <w:rsid w:val="008A4F1E"/>
    <w:rsid w:val="00900B6B"/>
    <w:rsid w:val="00B418EF"/>
    <w:rsid w:val="00B94806"/>
    <w:rsid w:val="00CA0726"/>
    <w:rsid w:val="00D05026"/>
    <w:rsid w:val="00E4764D"/>
    <w:rsid w:val="00E522A4"/>
    <w:rsid w:val="00F7452F"/>
    <w:rsid w:val="00FA206C"/>
    <w:rsid w:val="00FD797D"/>
    <w:rsid w:val="00FE6985"/>
    <w:rsid w:val="02055550"/>
    <w:rsid w:val="043E034A"/>
    <w:rsid w:val="0A623BA0"/>
    <w:rsid w:val="0C155D47"/>
    <w:rsid w:val="16AF4CDA"/>
    <w:rsid w:val="1B90776B"/>
    <w:rsid w:val="1D210235"/>
    <w:rsid w:val="1DE50E8D"/>
    <w:rsid w:val="2184267D"/>
    <w:rsid w:val="21A36387"/>
    <w:rsid w:val="225C1C63"/>
    <w:rsid w:val="28072B90"/>
    <w:rsid w:val="2A430E46"/>
    <w:rsid w:val="35695FC9"/>
    <w:rsid w:val="36F21AFB"/>
    <w:rsid w:val="39B22608"/>
    <w:rsid w:val="3BF16C13"/>
    <w:rsid w:val="3DDC6D90"/>
    <w:rsid w:val="43312434"/>
    <w:rsid w:val="43825436"/>
    <w:rsid w:val="4383152C"/>
    <w:rsid w:val="4A381337"/>
    <w:rsid w:val="4C422A9E"/>
    <w:rsid w:val="4EC72333"/>
    <w:rsid w:val="5D67302B"/>
    <w:rsid w:val="5FAB1648"/>
    <w:rsid w:val="72BE220F"/>
    <w:rsid w:val="78771C2C"/>
    <w:rsid w:val="7A114844"/>
    <w:rsid w:val="7BCD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0"/>
    <w:rPr>
      <w:rFonts w:ascii="Calibri" w:hAnsi="Calibri"/>
      <w:kern w:val="2"/>
      <w:sz w:val="18"/>
      <w:szCs w:val="18"/>
    </w:rPr>
  </w:style>
  <w:style w:type="character" w:customStyle="1" w:styleId="12">
    <w:name w:val="页脚 Char"/>
    <w:basedOn w:val="8"/>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90</Words>
  <Characters>516</Characters>
  <Lines>4</Lines>
  <Paragraphs>1</Paragraphs>
  <TotalTime>2</TotalTime>
  <ScaleCrop>false</ScaleCrop>
  <LinksUpToDate>false</LinksUpToDate>
  <CharactersWithSpaces>605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2018-11-20T06:48:00Z</dcterms:created>
  <dc:creator>dadi</dc:creator>
  <cp:lastModifiedBy>江心秋月白</cp:lastModifiedBy>
  <dcterms:modified xsi:type="dcterms:W3CDTF">2021-03-06T03:54:22Z</dcterms:modified>
  <dc:title>Technical Data Sheet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