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622" w:tblpY="514"/>
        <w:tblOverlap w:val="never"/>
        <w:tblW w:w="8903" w:type="dxa"/>
        <w:tblInd w:w="0" w:type="dxa"/>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1"/>
        <w:gridCol w:w="1896"/>
        <w:gridCol w:w="89"/>
        <w:gridCol w:w="5217"/>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3597" w:type="dxa"/>
            <w:gridSpan w:val="2"/>
            <w:tcBorders>
              <w:top w:val="single" w:color="000000" w:sz="12" w:space="0"/>
              <w:bottom w:val="single" w:color="000000" w:sz="12" w:space="0"/>
              <w:right w:val="nil"/>
            </w:tcBorders>
            <w:vAlign w:val="center"/>
          </w:tcPr>
          <w:p>
            <w:pPr>
              <w:rPr>
                <w:rFonts w:hint="default" w:ascii="Arial" w:hAnsi="Arial" w:eastAsia="宋体" w:cs="Arial"/>
                <w:b/>
                <w:sz w:val="30"/>
                <w:szCs w:val="30"/>
                <w:lang w:val="en-US" w:eastAsia="zh-CN"/>
              </w:rPr>
            </w:pPr>
            <w:r>
              <w:rPr>
                <w:rFonts w:ascii="Arial" w:hAnsi="Arial" w:cs="Arial"/>
                <w:b/>
                <w:sz w:val="30"/>
                <w:szCs w:val="30"/>
              </w:rPr>
              <w:t>Actmix</w:t>
            </w:r>
            <w:r>
              <w:rPr>
                <w:rFonts w:hint="eastAsia" w:ascii="Arial" w:hAnsi="Arial" w:cs="Arial"/>
                <w:b/>
                <w:sz w:val="30"/>
                <w:szCs w:val="30"/>
                <w:lang w:val="en-US" w:eastAsia="zh-CN"/>
              </w:rPr>
              <w:t xml:space="preserve"> </w:t>
            </w:r>
            <w:r>
              <w:rPr>
                <w:rFonts w:hint="eastAsia" w:ascii="Arial" w:hAnsi="Arial" w:cs="Arial"/>
                <w:b/>
                <w:sz w:val="30"/>
                <w:szCs w:val="30"/>
                <w:vertAlign w:val="baseline"/>
                <w:lang w:val="en-US" w:eastAsia="zh-CN"/>
              </w:rPr>
              <w:t>ZBS-80GE F140</w:t>
            </w:r>
          </w:p>
        </w:tc>
        <w:tc>
          <w:tcPr>
            <w:tcW w:w="5306" w:type="dxa"/>
            <w:gridSpan w:val="2"/>
            <w:tcBorders>
              <w:top w:val="single" w:color="000000" w:sz="12" w:space="0"/>
              <w:left w:val="nil"/>
              <w:bottom w:val="single" w:color="000000" w:sz="12" w:space="0"/>
            </w:tcBorders>
            <w:vAlign w:val="center"/>
          </w:tcPr>
          <w:p>
            <w:pPr>
              <w:rPr>
                <w:rFonts w:hint="eastAsia" w:ascii="Times New Roman" w:hAnsi="Times New Roman" w:eastAsia="宋体"/>
                <w:sz w:val="30"/>
                <w:szCs w:val="30"/>
                <w:lang w:eastAsia="zh-CN"/>
              </w:rPr>
            </w:pPr>
            <w:r>
              <w:rPr>
                <w:rFonts w:hint="eastAsia" w:ascii="Times New Roman" w:hAnsi="Times New Roman"/>
                <w:sz w:val="30"/>
                <w:szCs w:val="30"/>
                <w:lang w:val="en-US" w:eastAsia="zh-CN"/>
              </w:rPr>
              <w:t xml:space="preserve">            </w:t>
            </w:r>
            <w:r>
              <w:rPr>
                <w:rFonts w:hint="eastAsia" w:ascii="Times New Roman" w:hAnsi="Times New Roman"/>
                <w:sz w:val="30"/>
                <w:szCs w:val="30"/>
              </w:rPr>
              <w:t>预分散橡胶</w:t>
            </w:r>
            <w:r>
              <w:rPr>
                <w:rFonts w:hint="eastAsia" w:ascii="Times New Roman" w:hAnsi="Times New Roman"/>
                <w:sz w:val="30"/>
                <w:szCs w:val="30"/>
                <w:lang w:val="en-US" w:eastAsia="zh-CN"/>
              </w:rPr>
              <w:t>发泡活性</w:t>
            </w:r>
            <w:r>
              <w:rPr>
                <w:rFonts w:hint="eastAsia" w:ascii="Times New Roman" w:hAnsi="Times New Roman"/>
                <w:sz w:val="30"/>
                <w:szCs w:val="30"/>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701" w:type="dxa"/>
            <w:tcBorders>
              <w:top w:val="single" w:color="000000" w:sz="12" w:space="0"/>
              <w:left w:val="nil"/>
              <w:bottom w:val="single" w:color="000000" w:sz="12" w:space="0"/>
              <w:right w:val="nil"/>
            </w:tcBorders>
            <w:vAlign w:val="center"/>
          </w:tcPr>
          <w:p>
            <w:pPr>
              <w:rPr>
                <w:rFonts w:ascii="Times New Roman" w:hAnsi="Times New Roman"/>
                <w:b/>
                <w:sz w:val="24"/>
                <w:szCs w:val="24"/>
              </w:rPr>
            </w:pPr>
            <w:r>
              <w:rPr>
                <w:rFonts w:hint="eastAsia" w:ascii="Times New Roman" w:hAnsi="Times New Roman"/>
                <w:b/>
                <w:sz w:val="24"/>
                <w:szCs w:val="24"/>
              </w:rPr>
              <w:t>功能</w:t>
            </w:r>
          </w:p>
        </w:tc>
        <w:tc>
          <w:tcPr>
            <w:tcW w:w="7202"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发泡活性</w:t>
            </w:r>
            <w:r>
              <w:rPr>
                <w:rFonts w:hint="eastAsia" w:ascii="Times New Roman" w:hAnsi="Times New Roman" w:eastAsia="宋体"/>
                <w:sz w:val="24"/>
                <w:szCs w:val="24"/>
                <w:lang w:val="en-US" w:eastAsia="zh-CN"/>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vMerge w:val="restart"/>
            <w:tcBorders>
              <w:top w:val="single" w:color="000000" w:sz="12" w:space="0"/>
              <w:left w:val="nil"/>
              <w:bottom w:val="single" w:color="000000" w:sz="4" w:space="0"/>
              <w:right w:val="nil"/>
            </w:tcBorders>
          </w:tcPr>
          <w:p>
            <w:pPr>
              <w:rPr>
                <w:rFonts w:ascii="Times New Roman" w:hAnsi="Times New Roman"/>
                <w:b/>
                <w:sz w:val="24"/>
                <w:szCs w:val="24"/>
              </w:rPr>
            </w:pPr>
            <w:r>
              <w:rPr>
                <w:rFonts w:hint="eastAsia" w:ascii="Times New Roman" w:hAnsi="Times New Roman"/>
                <w:b/>
                <w:sz w:val="24"/>
                <w:szCs w:val="24"/>
              </w:rPr>
              <w:t>产品说明</w:t>
            </w:r>
          </w:p>
        </w:tc>
        <w:tc>
          <w:tcPr>
            <w:tcW w:w="1985" w:type="dxa"/>
            <w:gridSpan w:val="2"/>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组成：</w:t>
            </w:r>
          </w:p>
        </w:tc>
        <w:tc>
          <w:tcPr>
            <w:tcW w:w="5217"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Arial" w:hAnsi="Arial" w:cs="Arial"/>
                <w:sz w:val="24"/>
                <w:szCs w:val="24"/>
                <w:lang w:val="en-US" w:eastAsia="zh-CN"/>
              </w:rPr>
              <w:t>80%苯亚磺酸锌和20%预分散</w:t>
            </w:r>
            <w:r>
              <w:rPr>
                <w:rFonts w:hint="eastAsia"/>
                <w:sz w:val="24"/>
                <w:szCs w:val="24"/>
                <w:lang w:val="en-US" w:eastAsia="zh-CN"/>
              </w:rPr>
              <w:t>橡胶载体</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85"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外观：</w:t>
            </w:r>
          </w:p>
        </w:tc>
        <w:tc>
          <w:tcPr>
            <w:tcW w:w="521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白色颗粒</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701"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85"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 xml:space="preserve">密度（20 </w:t>
            </w:r>
            <w:r>
              <w:rPr>
                <w:rFonts w:ascii="Times New Roman" w:hAnsi="Times New Roman"/>
                <w:sz w:val="24"/>
                <w:szCs w:val="24"/>
              </w:rPr>
              <w:t>°C</w:t>
            </w:r>
            <w:r>
              <w:rPr>
                <w:rFonts w:hint="eastAsia" w:ascii="Times New Roman" w:hAnsi="Times New Roman"/>
                <w:sz w:val="24"/>
                <w:szCs w:val="24"/>
              </w:rPr>
              <w:t>）：</w:t>
            </w:r>
          </w:p>
        </w:tc>
        <w:tc>
          <w:tcPr>
            <w:tcW w:w="5217"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Arial" w:hAnsi="Arial" w:cs="Arial"/>
                <w:sz w:val="24"/>
                <w:szCs w:val="24"/>
                <w:vertAlign w:val="superscript"/>
              </w:rPr>
            </w:pPr>
            <w:r>
              <w:rPr>
                <w:rFonts w:hint="eastAsia" w:ascii="Arial" w:hAnsi="Arial" w:cs="Arial"/>
                <w:sz w:val="24"/>
                <w:szCs w:val="24"/>
                <w:lang w:val="en-US" w:eastAsia="zh-CN"/>
              </w:rPr>
              <w:t>约1.4</w:t>
            </w:r>
            <w:r>
              <w:rPr>
                <w:rFonts w:ascii="Arial" w:hAnsi="Arial" w:cs="Arial"/>
                <w:sz w:val="24"/>
                <w:szCs w:val="24"/>
              </w:rPr>
              <w:t>g/cm</w:t>
            </w:r>
            <w:r>
              <w:rPr>
                <w:rFonts w:ascii="Arial" w:hAnsi="Arial" w:cs="Arial"/>
                <w:sz w:val="24"/>
                <w:szCs w:val="24"/>
                <w:vertAlign w:val="superscript"/>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1701" w:type="dxa"/>
            <w:vMerge w:val="continue"/>
            <w:tcBorders>
              <w:top w:val="single" w:color="000000" w:sz="4" w:space="0"/>
              <w:left w:val="nil"/>
              <w:bottom w:val="single" w:color="000000" w:sz="12" w:space="0"/>
              <w:right w:val="nil"/>
            </w:tcBorders>
            <w:vAlign w:val="center"/>
          </w:tcPr>
          <w:p>
            <w:pPr>
              <w:spacing w:beforeLines="100" w:afterLines="50"/>
              <w:rPr>
                <w:rFonts w:ascii="Times New Roman" w:hAnsi="Times New Roman"/>
                <w:b/>
                <w:sz w:val="24"/>
                <w:szCs w:val="24"/>
              </w:rPr>
            </w:pPr>
          </w:p>
        </w:tc>
        <w:tc>
          <w:tcPr>
            <w:tcW w:w="1985" w:type="dxa"/>
            <w:gridSpan w:val="2"/>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安全特性：</w:t>
            </w:r>
          </w:p>
        </w:tc>
        <w:tc>
          <w:tcPr>
            <w:tcW w:w="5217"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701" w:type="dxa"/>
            <w:tcBorders>
              <w:top w:val="single" w:color="000000" w:sz="12" w:space="0"/>
              <w:left w:val="nil"/>
              <w:bottom w:val="single" w:color="000000" w:sz="12" w:space="0"/>
              <w:right w:val="nil"/>
            </w:tcBorders>
            <w:vAlign w:val="center"/>
          </w:tcPr>
          <w:p>
            <w:pPr>
              <w:rPr>
                <w:rFonts w:hint="eastAsia" w:ascii="Times New Roman" w:hAnsi="Times New Roman" w:eastAsia="宋体"/>
                <w:b/>
                <w:sz w:val="24"/>
                <w:szCs w:val="24"/>
                <w:lang w:val="en-US" w:eastAsia="zh-CN"/>
              </w:rPr>
            </w:pPr>
            <w:r>
              <w:rPr>
                <w:rFonts w:hint="eastAsia" w:ascii="Times New Roman" w:hAnsi="Times New Roman"/>
                <w:b/>
                <w:sz w:val="24"/>
                <w:szCs w:val="24"/>
                <w:lang w:val="en-US" w:eastAsia="zh-CN"/>
              </w:rPr>
              <w:t>应用资料</w:t>
            </w:r>
          </w:p>
        </w:tc>
        <w:tc>
          <w:tcPr>
            <w:tcW w:w="7202"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trPr>
        <w:tc>
          <w:tcPr>
            <w:tcW w:w="1701" w:type="dxa"/>
            <w:tcBorders>
              <w:top w:val="single" w:color="000000" w:sz="12" w:space="0"/>
              <w:left w:val="nil"/>
              <w:bottom w:val="nil"/>
              <w:right w:val="nil"/>
            </w:tcBorders>
          </w:tcPr>
          <w:p>
            <w:pPr>
              <w:rPr>
                <w:rFonts w:hint="eastAsia" w:ascii="Times New Roman" w:hAnsi="Times New Roman"/>
                <w:sz w:val="24"/>
                <w:szCs w:val="24"/>
                <w:lang w:val="en-US" w:eastAsia="zh-CN"/>
              </w:rPr>
            </w:pPr>
            <w:r>
              <w:rPr>
                <w:rFonts w:hint="eastAsia" w:ascii="Times New Roman" w:hAnsi="Times New Roman"/>
                <w:sz w:val="24"/>
                <w:szCs w:val="24"/>
                <w:lang w:val="en-US" w:eastAsia="zh-CN"/>
              </w:rPr>
              <w:t>用途：</w:t>
            </w:r>
          </w:p>
        </w:tc>
        <w:tc>
          <w:tcPr>
            <w:tcW w:w="7202"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sz w:val="24"/>
                <w:szCs w:val="24"/>
                <w:lang w:val="en-US" w:eastAsia="zh-CN"/>
              </w:rPr>
            </w:pPr>
            <w:r>
              <w:rPr>
                <w:rFonts w:hint="default" w:ascii="Times New Roman" w:hAnsi="Times New Roman"/>
                <w:sz w:val="24"/>
                <w:szCs w:val="24"/>
                <w:lang w:val="en-US" w:eastAsia="zh-CN"/>
              </w:rPr>
              <w:t>Actmix</w:t>
            </w:r>
            <w:r>
              <w:rPr>
                <w:rFonts w:hint="eastAsia" w:ascii="Times New Roman" w:hAnsi="Times New Roman"/>
                <w:sz w:val="24"/>
                <w:szCs w:val="24"/>
                <w:lang w:val="en-US" w:eastAsia="zh-CN"/>
              </w:rPr>
              <w:t xml:space="preserve"> ZBS-80GE F140是</w:t>
            </w:r>
            <w:r>
              <w:rPr>
                <w:rFonts w:hint="default" w:ascii="Times New Roman" w:hAnsi="Times New Roman"/>
                <w:sz w:val="24"/>
                <w:szCs w:val="24"/>
                <w:lang w:val="en-US" w:eastAsia="zh-CN"/>
              </w:rPr>
              <w:t>一种</w:t>
            </w:r>
            <w:r>
              <w:rPr>
                <w:rFonts w:hint="eastAsia" w:ascii="Times New Roman" w:hAnsi="Times New Roman"/>
                <w:sz w:val="24"/>
                <w:szCs w:val="24"/>
                <w:lang w:val="en-US" w:eastAsia="zh-CN"/>
              </w:rPr>
              <w:t>橡胶发泡</w:t>
            </w:r>
            <w:r>
              <w:rPr>
                <w:rFonts w:hint="default" w:ascii="Times New Roman" w:hAnsi="Times New Roman"/>
                <w:sz w:val="24"/>
                <w:szCs w:val="24"/>
                <w:lang w:val="en-US" w:eastAsia="zh-CN"/>
              </w:rPr>
              <w:t>活性</w:t>
            </w:r>
            <w:r>
              <w:rPr>
                <w:rFonts w:hint="eastAsia" w:ascii="Times New Roman" w:hAnsi="Times New Roman"/>
                <w:sz w:val="24"/>
                <w:szCs w:val="24"/>
                <w:lang w:val="en-US" w:eastAsia="zh-CN"/>
              </w:rPr>
              <w:t>剂</w:t>
            </w:r>
            <w:r>
              <w:rPr>
                <w:rFonts w:hint="default" w:ascii="Times New Roman" w:hAnsi="Times New Roman"/>
                <w:sz w:val="24"/>
                <w:szCs w:val="24"/>
                <w:lang w:val="en-US" w:eastAsia="zh-CN"/>
              </w:rPr>
              <w:t>，</w:t>
            </w:r>
            <w:r>
              <w:rPr>
                <w:rFonts w:hint="eastAsia" w:ascii="Times New Roman" w:hAnsi="Times New Roman"/>
                <w:sz w:val="24"/>
                <w:szCs w:val="24"/>
                <w:lang w:val="en-US" w:eastAsia="zh-CN"/>
              </w:rPr>
              <w:t>有助发泡的作用。常与ADC用于海绵发泡，降低发泡剂的分解温度，影响发泡剂的粉剂速度，助发泡剂的粒径越细，对发泡剂的相对有效性越强，这是因为助发泡剂的粒径越小，比表面积越大，与发泡剂接触的面积越大，反应速度越快，可以使发泡剂在较短的时间内获得较高的发气量。</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701" w:type="dxa"/>
            <w:tcBorders>
              <w:top w:val="nil"/>
              <w:left w:val="nil"/>
              <w:bottom w:val="nil"/>
              <w:right w:val="nil"/>
            </w:tcBorders>
            <w:vAlign w:val="center"/>
          </w:tcPr>
          <w:p>
            <w:pPr>
              <w:jc w:val="both"/>
              <w:rPr>
                <w:rFonts w:ascii="Times New Roman" w:hAnsi="Times New Roman"/>
                <w:sz w:val="24"/>
                <w:szCs w:val="24"/>
              </w:rPr>
            </w:pPr>
            <w:r>
              <w:rPr>
                <w:rFonts w:hint="eastAsia" w:ascii="Times New Roman" w:hAnsi="Times New Roman"/>
                <w:sz w:val="24"/>
                <w:szCs w:val="24"/>
              </w:rPr>
              <w:t>用量：</w:t>
            </w:r>
          </w:p>
        </w:tc>
        <w:tc>
          <w:tcPr>
            <w:tcW w:w="7202"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通常情况下1-6phr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701" w:type="dxa"/>
            <w:tcBorders>
              <w:top w:val="single" w:color="000000" w:sz="12" w:space="0"/>
              <w:left w:val="nil"/>
              <w:bottom w:val="nil"/>
              <w:right w:val="nil"/>
            </w:tcBorders>
            <w:vAlign w:val="center"/>
          </w:tcPr>
          <w:p>
            <w:pPr>
              <w:rPr>
                <w:rFonts w:hint="eastAsia" w:ascii="Times New Roman" w:hAnsi="Times New Roman" w:eastAsia="宋体"/>
                <w:sz w:val="24"/>
                <w:szCs w:val="24"/>
                <w:lang w:val="en-US" w:eastAsia="zh-CN"/>
              </w:rPr>
            </w:pPr>
            <w:r>
              <w:rPr>
                <w:rFonts w:hint="eastAsia" w:ascii="Times New Roman" w:hAnsi="Times New Roman"/>
                <w:sz w:val="24"/>
                <w:szCs w:val="24"/>
                <w:lang w:val="en-US" w:eastAsia="zh-CN"/>
              </w:rPr>
              <w:t>应用</w:t>
            </w:r>
          </w:p>
        </w:tc>
        <w:tc>
          <w:tcPr>
            <w:tcW w:w="7202"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beforeLines="0" w:afterLines="0" w:line="312" w:lineRule="auto"/>
              <w:jc w:val="left"/>
              <w:textAlignment w:val="auto"/>
              <w:rPr>
                <w:rFonts w:hint="eastAsia" w:ascii="Times New Roman" w:hAnsi="Times New Roman" w:eastAsia="宋体"/>
                <w:sz w:val="24"/>
                <w:szCs w:val="24"/>
                <w:lang w:eastAsia="zh-CN"/>
              </w:rPr>
            </w:pPr>
            <w:r>
              <w:rPr>
                <w:rFonts w:hint="eastAsia" w:ascii="Times New Roman" w:hAnsi="Times New Roman"/>
                <w:sz w:val="24"/>
                <w:szCs w:val="24"/>
              </w:rPr>
              <w:t>用于</w:t>
            </w:r>
            <w:r>
              <w:rPr>
                <w:rFonts w:hint="eastAsia" w:ascii="Times New Roman" w:hAnsi="Times New Roman"/>
                <w:sz w:val="24"/>
                <w:szCs w:val="24"/>
                <w:lang w:val="en-US" w:eastAsia="zh-CN"/>
              </w:rPr>
              <w:t>EPDM</w:t>
            </w:r>
            <w:r>
              <w:rPr>
                <w:rFonts w:hint="eastAsia" w:ascii="Times New Roman" w:hAnsi="Times New Roman"/>
                <w:sz w:val="24"/>
                <w:szCs w:val="24"/>
                <w:lang w:eastAsia="zh-CN"/>
              </w:rPr>
              <w:t>、</w:t>
            </w:r>
            <w:r>
              <w:rPr>
                <w:rFonts w:hint="eastAsia" w:ascii="Times New Roman" w:hAnsi="Times New Roman"/>
                <w:sz w:val="24"/>
                <w:szCs w:val="24"/>
                <w:lang w:val="en-US" w:eastAsia="zh-CN"/>
              </w:rPr>
              <w:t>CR等海绵发泡</w:t>
            </w:r>
            <w:r>
              <w:rPr>
                <w:rFonts w:hint="eastAsia" w:ascii="Times New Roman" w:hAnsi="Times New Roman"/>
                <w:sz w:val="24"/>
                <w:szCs w:val="24"/>
              </w:rPr>
              <w:t>胶料，如</w:t>
            </w:r>
            <w:r>
              <w:rPr>
                <w:rFonts w:hint="eastAsia" w:ascii="Times New Roman" w:hAnsi="Times New Roman"/>
                <w:sz w:val="24"/>
                <w:szCs w:val="24"/>
                <w:lang w:eastAsia="zh-CN"/>
              </w:rPr>
              <w:t>密封条</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701" w:type="dxa"/>
            <w:tcBorders>
              <w:top w:val="single" w:color="000000" w:sz="12" w:space="0"/>
              <w:left w:val="nil"/>
              <w:bottom w:val="nil"/>
              <w:right w:val="nil"/>
            </w:tcBorders>
            <w:vAlign w:val="center"/>
          </w:tcPr>
          <w:p>
            <w:pPr>
              <w:rPr>
                <w:rFonts w:ascii="Times New Roman" w:hAnsi="Times New Roman"/>
                <w:sz w:val="24"/>
                <w:szCs w:val="24"/>
              </w:rPr>
            </w:pPr>
            <w:r>
              <w:rPr>
                <w:rFonts w:hint="eastAsia" w:ascii="Times New Roman" w:hAnsi="Times New Roman"/>
                <w:sz w:val="24"/>
                <w:szCs w:val="24"/>
              </w:rPr>
              <w:t>包装：</w:t>
            </w:r>
          </w:p>
        </w:tc>
        <w:tc>
          <w:tcPr>
            <w:tcW w:w="7202"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ascii="Times New Roman" w:hAnsi="Times New Roman"/>
                <w:sz w:val="24"/>
                <w:szCs w:val="24"/>
              </w:rPr>
              <w:t>内衬PE袋的纸箱，每箱净重25KG；600公斤/托盘。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701" w:type="dxa"/>
            <w:tcBorders>
              <w:top w:val="nil"/>
              <w:left w:val="nil"/>
              <w:bottom w:val="nil"/>
              <w:right w:val="nil"/>
            </w:tcBorders>
          </w:tcPr>
          <w:p>
            <w:pPr>
              <w:rPr>
                <w:rFonts w:ascii="Times New Roman" w:hAnsi="Times New Roman"/>
                <w:sz w:val="24"/>
                <w:szCs w:val="24"/>
              </w:rPr>
            </w:pPr>
            <w:r>
              <w:rPr>
                <w:rFonts w:hint="eastAsia" w:ascii="Times New Roman" w:hAnsi="Times New Roman"/>
                <w:sz w:val="24"/>
                <w:szCs w:val="24"/>
              </w:rPr>
              <w:t>储存稳定性：</w:t>
            </w:r>
          </w:p>
        </w:tc>
        <w:tc>
          <w:tcPr>
            <w:tcW w:w="7202"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密封储存在阴凉、干燥、通风良好的地方，建议产品保存期限为</w:t>
            </w:r>
            <w:r>
              <w:rPr>
                <w:rFonts w:hint="eastAsia" w:ascii="Times New Roman" w:hAnsi="Times New Roman"/>
                <w:sz w:val="24"/>
                <w:szCs w:val="24"/>
                <w:lang w:val="en-US" w:eastAsia="zh-CN"/>
              </w:rPr>
              <w:t>一</w:t>
            </w:r>
            <w:r>
              <w:rPr>
                <w:rFonts w:hint="eastAsia" w:ascii="Times New Roman" w:hAnsi="Times New Roman"/>
                <w:sz w:val="24"/>
                <w:szCs w:val="24"/>
              </w:rPr>
              <w:t>年。</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rPr>
        <w:tc>
          <w:tcPr>
            <w:tcW w:w="1701" w:type="dxa"/>
            <w:tcBorders>
              <w:top w:val="nil"/>
              <w:left w:val="nil"/>
              <w:bottom w:val="single" w:color="000000" w:sz="12" w:space="0"/>
              <w:right w:val="nil"/>
            </w:tcBorders>
            <w:vAlign w:val="center"/>
          </w:tcPr>
          <w:p>
            <w:pPr>
              <w:rPr>
                <w:rFonts w:ascii="Times New Roman" w:hAnsi="Times New Roman"/>
                <w:sz w:val="24"/>
                <w:szCs w:val="24"/>
              </w:rPr>
            </w:pPr>
            <w:r>
              <w:rPr>
                <w:rFonts w:hint="eastAsia" w:ascii="Times New Roman" w:hAnsi="Times New Roman"/>
                <w:sz w:val="24"/>
                <w:szCs w:val="24"/>
              </w:rPr>
              <w:t>处置：</w:t>
            </w:r>
          </w:p>
        </w:tc>
        <w:tc>
          <w:tcPr>
            <w:tcW w:w="7202" w:type="dxa"/>
            <w:gridSpan w:val="3"/>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sz w:val="24"/>
                <w:szCs w:val="24"/>
              </w:rPr>
            </w:pPr>
            <w:r>
              <w:rPr>
                <w:rFonts w:hint="eastAsia" w:ascii="Times New Roman" w:hAnsi="Times New Roman"/>
                <w:sz w:val="24"/>
                <w:szCs w:val="24"/>
              </w:rPr>
              <w:t>在橡胶加工过程中化学添加剂的工作区域建议抽风排气，更进一步的处置资料请参考</w:t>
            </w:r>
            <w:r>
              <w:rPr>
                <w:rFonts w:hint="default" w:ascii="Times New Roman" w:hAnsi="Times New Roman"/>
                <w:sz w:val="24"/>
                <w:szCs w:val="24"/>
                <w:lang w:val="en-US" w:eastAsia="zh-CN"/>
              </w:rPr>
              <w:t>Actmix</w:t>
            </w:r>
            <w:r>
              <w:rPr>
                <w:rFonts w:hint="eastAsia" w:ascii="Times New Roman" w:hAnsi="Times New Roman"/>
                <w:sz w:val="24"/>
                <w:szCs w:val="24"/>
                <w:lang w:val="en-US" w:eastAsia="zh-CN"/>
              </w:rPr>
              <w:t xml:space="preserve"> ZBS-80GE F140</w:t>
            </w:r>
            <w:r>
              <w:rPr>
                <w:rFonts w:hint="eastAsia" w:ascii="Times New Roman" w:hAnsi="Times New Roman"/>
                <w:sz w:val="24"/>
                <w:szCs w:val="24"/>
              </w:rPr>
              <w:t>的安全数据表。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8903" w:type="dxa"/>
            <w:gridSpan w:val="4"/>
            <w:tcBorders>
              <w:top w:val="single" w:color="000000" w:sz="12" w:space="0"/>
              <w:left w:val="nil"/>
              <w:bottom w:val="nil"/>
              <w:right w:val="nil"/>
            </w:tcBorders>
            <w:vAlign w:val="center"/>
          </w:tcPr>
          <w:p>
            <w:pPr>
              <w:spacing w:line="252" w:lineRule="auto"/>
              <w:rPr>
                <w:rFonts w:hAnsi="宋体"/>
                <w:sz w:val="18"/>
                <w:szCs w:val="18"/>
              </w:rPr>
            </w:pPr>
            <w:r>
              <w:rPr>
                <w:rFonts w:hint="eastAsia" w:hAnsi="宋体"/>
                <w:sz w:val="18"/>
                <w:szCs w:val="18"/>
                <w:lang w:eastAsia="zh-CN"/>
              </w:rPr>
              <w:tab/>
            </w:r>
          </w:p>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p>
            <w:pPr>
              <w:spacing w:line="252" w:lineRule="auto"/>
              <w:rPr>
                <w:rFonts w:hAnsi="宋体"/>
                <w:sz w:val="18"/>
                <w:szCs w:val="18"/>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8903" w:type="dxa"/>
            <w:gridSpan w:val="4"/>
            <w:tcBorders>
              <w:top w:val="nil"/>
              <w:left w:val="nil"/>
              <w:bottom w:val="nil"/>
              <w:right w:val="nil"/>
            </w:tcBorders>
            <w:shd w:val="clear" w:color="auto" w:fill="00CC00"/>
            <w:vAlign w:val="center"/>
          </w:tcPr>
          <w:p>
            <w:pPr>
              <w:rPr>
                <w:rFonts w:ascii="Arial" w:hAnsi="Arial" w:cs="Arial"/>
                <w:b/>
                <w:bCs/>
                <w:color w:val="FFFFFF"/>
                <w:sz w:val="24"/>
                <w:szCs w:val="24"/>
              </w:rPr>
            </w:pPr>
            <w:r>
              <w:rPr>
                <w:rFonts w:ascii="Arial" w:hAnsi="Arial" w:cs="Arial"/>
                <w:b/>
                <w:bCs/>
                <w:color w:val="FFFFFF"/>
                <w:sz w:val="24"/>
                <w:szCs w:val="24"/>
              </w:rPr>
              <w:t>Actmix</w:t>
            </w:r>
            <w:r>
              <w:rPr>
                <w:rFonts w:hint="eastAsia" w:ascii="Arial" w:hAnsi="Arial" w:cs="Arial"/>
                <w:b/>
                <w:bCs/>
                <w:color w:val="FFFFFF"/>
                <w:sz w:val="24"/>
                <w:szCs w:val="24"/>
                <w:lang w:val="en-US" w:eastAsia="zh-CN"/>
              </w:rPr>
              <w:t xml:space="preserve">  ZBS-80GE F140</w:t>
            </w:r>
            <w:bookmarkStart w:id="0" w:name="_GoBack"/>
            <w:bookmarkEnd w:id="0"/>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w:t>
            </w:r>
            <w:r>
              <w:rPr>
                <w:rFonts w:hint="eastAsia" w:ascii="Arial" w:hAnsi="Arial" w:cs="Arial"/>
                <w:color w:val="FFFFFF"/>
                <w:szCs w:val="21"/>
                <w:lang w:val="en-US" w:eastAsia="zh-CN"/>
              </w:rPr>
              <w:t>4</w:t>
            </w:r>
          </w:p>
        </w:tc>
      </w:tr>
    </w:tbl>
    <w:p>
      <w:pPr>
        <w:spacing w:line="360" w:lineRule="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ACT67</w:t>
      </w:r>
    </w:p>
    <w:sectPr>
      <w:headerReference r:id="rId3" w:type="default"/>
      <w:footerReference r:id="rId4" w:type="default"/>
      <w:pgSz w:w="11906" w:h="16838"/>
      <w:pgMar w:top="1440" w:right="1800" w:bottom="1440" w:left="1800" w:header="1134" w:footer="116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w:t>
    </w:r>
    <w:r>
      <w:rPr>
        <w:rFonts w:hint="eastAsia" w:ascii="Arial" w:hAnsi="Arial" w:eastAsia="新宋体" w:cs="Arial"/>
        <w:b/>
        <w:color w:val="008000"/>
        <w:sz w:val="44"/>
        <w:szCs w:val="44"/>
        <w:lang w:eastAsia="zh-CN"/>
      </w:rPr>
      <w:t>艾克姆新材料股份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sz w:val="18"/>
        <w:szCs w:val="18"/>
      </w:rPr>
      <w:t>电话：</w:t>
    </w:r>
    <w:r>
      <w:rPr>
        <w:rFonts w:hint="eastAsia" w:ascii="Arial" w:hAnsi="Arial" w:cs="Arial"/>
        <w:color w:val="008000"/>
        <w:sz w:val="18"/>
        <w:szCs w:val="18"/>
      </w:rPr>
      <w:t>0</w:t>
    </w:r>
    <w:r>
      <w:rPr>
        <w:rFonts w:ascii="Arial" w:hAnsi="Arial" w:cs="Arial"/>
        <w:color w:val="008000"/>
        <w:sz w:val="18"/>
        <w:szCs w:val="18"/>
      </w:rPr>
      <w:t>574-</w:t>
    </w:r>
    <w:r>
      <w:rPr>
        <w:rFonts w:hint="eastAsia" w:ascii="Arial" w:hAnsi="Arial" w:cs="Arial"/>
        <w:color w:val="008000"/>
        <w:sz w:val="18"/>
        <w:szCs w:val="18"/>
      </w:rPr>
      <w:t xml:space="preserve">87468726  </w:t>
    </w:r>
    <w:r>
      <w:rPr>
        <w:rFonts w:hint="eastAsia" w:ascii="Arial" w:hAnsi="Arial" w:cs="Arial"/>
        <w:color w:val="008000"/>
        <w:kern w:val="0"/>
        <w:sz w:val="18"/>
        <w:szCs w:val="18"/>
      </w:rPr>
      <w:t>传真：</w:t>
    </w:r>
    <w:r>
      <w:rPr>
        <w:rFonts w:ascii="Arial" w:hAnsi="Arial" w:cs="Arial"/>
        <w:color w:val="008000"/>
        <w:sz w:val="18"/>
        <w:szCs w:val="18"/>
      </w:rPr>
      <w:t>0574-</w:t>
    </w:r>
    <w:r>
      <w:rPr>
        <w:rFonts w:hint="eastAsia" w:ascii="Arial" w:hAnsi="Arial" w:cs="Arial"/>
        <w:color w:val="008000"/>
        <w:sz w:val="18"/>
        <w:szCs w:val="18"/>
      </w:rPr>
      <w:t>88002102  Email：dychem@actmix.cn  网址：</w:t>
    </w:r>
    <w:r>
      <w:rPr>
        <w:rFonts w:ascii="Arial" w:hAnsi="Arial" w:cs="Arial"/>
        <w:color w:val="008000"/>
        <w:kern w:val="0"/>
        <w:sz w:val="18"/>
        <w:szCs w:val="18"/>
      </w:rPr>
      <w:t>www.actmix.</w:t>
    </w:r>
    <w:r>
      <w:rPr>
        <w:rFonts w:hint="eastAsia" w:ascii="Arial" w:hAnsi="Arial" w:cs="Arial"/>
        <w:color w:val="008000"/>
        <w:kern w:val="0"/>
        <w:sz w:val="18"/>
        <w:szCs w:val="18"/>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hint="eastAsia" w:ascii="Arial" w:hAnsi="Arial" w:cs="Arial"/>
        <w:sz w:val="30"/>
        <w:szCs w:val="30"/>
        <w:lang w:val="en-US" w:eastAsia="zh-CN"/>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lang w:val="en-US" w:eastAsia="zh-CN"/>
      </w:rPr>
      <w:t xml:space="preserve"> </w:t>
    </w:r>
  </w:p>
  <w:p>
    <w:pPr>
      <w:pStyle w:val="4"/>
      <w:pBdr>
        <w:bottom w:val="none" w:color="auto" w:sz="0" w:space="1"/>
      </w:pBdr>
      <w:jc w:val="left"/>
      <w:rPr>
        <w:rFonts w:hint="eastAsia" w:ascii="Arial" w:hAnsi="Arial" w:cs="Arial"/>
        <w:sz w:val="30"/>
        <w:szCs w:val="3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3DF"/>
    <w:rsid w:val="000E5938"/>
    <w:rsid w:val="0024558C"/>
    <w:rsid w:val="0025454F"/>
    <w:rsid w:val="00324E45"/>
    <w:rsid w:val="00681409"/>
    <w:rsid w:val="006D5AEB"/>
    <w:rsid w:val="0073614F"/>
    <w:rsid w:val="007E614D"/>
    <w:rsid w:val="008031FF"/>
    <w:rsid w:val="008A4F1E"/>
    <w:rsid w:val="00900B6B"/>
    <w:rsid w:val="00B418EF"/>
    <w:rsid w:val="00CA0726"/>
    <w:rsid w:val="00D05026"/>
    <w:rsid w:val="00E4764D"/>
    <w:rsid w:val="00E522A4"/>
    <w:rsid w:val="00F7452F"/>
    <w:rsid w:val="00FA206C"/>
    <w:rsid w:val="00FD797D"/>
    <w:rsid w:val="00FE6985"/>
    <w:rsid w:val="043E034A"/>
    <w:rsid w:val="0A623BA0"/>
    <w:rsid w:val="0C155D47"/>
    <w:rsid w:val="15D708B1"/>
    <w:rsid w:val="184734BF"/>
    <w:rsid w:val="191D7553"/>
    <w:rsid w:val="1D210235"/>
    <w:rsid w:val="2184267D"/>
    <w:rsid w:val="28072B90"/>
    <w:rsid w:val="28FE4AB7"/>
    <w:rsid w:val="2FB67C49"/>
    <w:rsid w:val="356631BB"/>
    <w:rsid w:val="35695FC9"/>
    <w:rsid w:val="39B22608"/>
    <w:rsid w:val="3A7F66CE"/>
    <w:rsid w:val="3B31445D"/>
    <w:rsid w:val="3F4D0F75"/>
    <w:rsid w:val="43825436"/>
    <w:rsid w:val="4383152C"/>
    <w:rsid w:val="468C28DD"/>
    <w:rsid w:val="4A381337"/>
    <w:rsid w:val="4C422A9E"/>
    <w:rsid w:val="4EC72333"/>
    <w:rsid w:val="55F02EDD"/>
    <w:rsid w:val="57A7166A"/>
    <w:rsid w:val="5D31696F"/>
    <w:rsid w:val="72BE220F"/>
    <w:rsid w:val="753C04F3"/>
    <w:rsid w:val="78771C2C"/>
    <w:rsid w:val="7BCD11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unhideWhenUsed/>
    <w:qFormat/>
    <w:uiPriority w:val="0"/>
    <w:rPr>
      <w:color w:val="0000FF"/>
      <w:u w:val="single"/>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semiHidden/>
    <w:qFormat/>
    <w:uiPriority w:val="0"/>
    <w:rPr>
      <w:rFonts w:ascii="Calibri" w:hAnsi="Calibri"/>
      <w:kern w:val="2"/>
      <w:sz w:val="18"/>
      <w:szCs w:val="18"/>
    </w:rPr>
  </w:style>
  <w:style w:type="character" w:customStyle="1" w:styleId="11">
    <w:name w:val="页脚 Char"/>
    <w:basedOn w:val="7"/>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585</Words>
  <Characters>754</Characters>
  <Lines>6</Lines>
  <Paragraphs>1</Paragraphs>
  <TotalTime>24</TotalTime>
  <ScaleCrop>false</ScaleCrop>
  <LinksUpToDate>false</LinksUpToDate>
  <CharactersWithSpaces>807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2015-02-04T02:06:00Z</dcterms:created>
  <dc:creator>dadi</dc:creator>
  <cp:lastModifiedBy>江心秋月白</cp:lastModifiedBy>
  <dcterms:modified xsi:type="dcterms:W3CDTF">2021-03-12T05:46:46Z</dcterms:modified>
  <dc:title> Technical Data Sheet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