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2091"/>
        <w:gridCol w:w="5111"/>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3792"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w:t>
            </w:r>
            <w:r>
              <w:rPr>
                <w:rFonts w:hint="eastAsia" w:ascii="Arial" w:hAnsi="Arial" w:cs="Arial"/>
                <w:b/>
                <w:sz w:val="30"/>
                <w:szCs w:val="30"/>
                <w:vertAlign w:val="baseline"/>
                <w:lang w:val="en-US" w:eastAsia="zh-CN"/>
              </w:rPr>
              <w:t>ZnST-75GE</w:t>
            </w:r>
          </w:p>
        </w:tc>
        <w:tc>
          <w:tcPr>
            <w:tcW w:w="5111" w:type="dxa"/>
            <w:tcBorders>
              <w:top w:val="single" w:color="000000" w:sz="12" w:space="0"/>
              <w:left w:val="nil"/>
              <w:bottom w:val="single" w:color="000000" w:sz="12" w:space="0"/>
            </w:tcBorders>
            <w:vAlign w:val="center"/>
          </w:tcPr>
          <w:p>
            <w:pPr>
              <w:rPr>
                <w:rFonts w:hint="eastAsia" w:ascii="Times New Roman" w:hAnsi="Times New Roman"/>
                <w:sz w:val="30"/>
                <w:szCs w:val="30"/>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val="en-US" w:eastAsia="zh-CN"/>
              </w:rPr>
              <w:t>硫化活性</w:t>
            </w:r>
            <w:r>
              <w:rPr>
                <w:rFonts w:hint="eastAsia" w:ascii="Times New Roman" w:hAnsi="Times New Roman"/>
                <w:sz w:val="30"/>
                <w:szCs w:val="30"/>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701"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02"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活</w:t>
            </w:r>
            <w:r>
              <w:rPr>
                <w:rFonts w:hint="eastAsia" w:ascii="Times New Roman" w:hAnsi="Times New Roman"/>
                <w:sz w:val="24"/>
                <w:szCs w:val="24"/>
                <w:lang w:val="en-US" w:eastAsia="zh-CN"/>
              </w:rPr>
              <w:t>性</w:t>
            </w:r>
            <w:r>
              <w:rPr>
                <w:rFonts w:hint="eastAsia" w:ascii="Times New Roman" w:hAnsi="Times New Roman" w:eastAsia="宋体"/>
                <w:sz w:val="24"/>
                <w:szCs w:val="24"/>
                <w:lang w:val="en-US" w:eastAsia="zh-CN"/>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2091"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Times New Roman" w:hAnsi="Times New Roman"/>
                <w:sz w:val="24"/>
                <w:szCs w:val="24"/>
              </w:rPr>
              <w:t>组成：</w:t>
            </w:r>
          </w:p>
        </w:tc>
        <w:tc>
          <w:tcPr>
            <w:tcW w:w="5111"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Arial" w:hAnsi="Arial" w:cs="Arial"/>
                <w:sz w:val="24"/>
                <w:szCs w:val="24"/>
                <w:lang w:val="en-US" w:eastAsia="zh-CN"/>
              </w:rPr>
              <w:t>75%</w:t>
            </w:r>
            <w:r>
              <w:rPr>
                <w:rFonts w:hint="eastAsia"/>
                <w:sz w:val="24"/>
                <w:szCs w:val="24"/>
                <w:lang w:val="en-US" w:eastAsia="zh-CN"/>
              </w:rPr>
              <w:t>硬脂酸锌</w:t>
            </w:r>
            <w:r>
              <w:rPr>
                <w:rFonts w:hint="eastAsia" w:ascii="Arial" w:hAnsi="Arial" w:cs="Arial"/>
                <w:sz w:val="24"/>
                <w:szCs w:val="24"/>
                <w:lang w:val="en-US" w:eastAsia="zh-CN"/>
              </w:rPr>
              <w:t>和25%预分散</w:t>
            </w:r>
            <w:r>
              <w:rPr>
                <w:rFonts w:hint="eastAsia"/>
                <w:sz w:val="24"/>
                <w:szCs w:val="24"/>
                <w:lang w:val="en-US" w:eastAsia="zh-CN"/>
              </w:rPr>
              <w:t>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Times New Roman" w:hAnsi="Times New Roman"/>
                <w:sz w:val="24"/>
                <w:szCs w:val="24"/>
              </w:rPr>
              <w:t>外观：</w:t>
            </w:r>
          </w:p>
        </w:tc>
        <w:tc>
          <w:tcPr>
            <w:tcW w:w="511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白色颗粒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Times New Roman" w:hAnsi="Times New Roman"/>
                <w:sz w:val="24"/>
                <w:szCs w:val="24"/>
              </w:rPr>
              <w:t xml:space="preserve">密度（20 </w:t>
            </w:r>
            <w:r>
              <w:rPr>
                <w:rFonts w:ascii="Times New Roman" w:hAnsi="Times New Roman"/>
                <w:sz w:val="24"/>
                <w:szCs w:val="24"/>
              </w:rPr>
              <w:t>°C</w:t>
            </w:r>
            <w:r>
              <w:rPr>
                <w:rFonts w:hint="eastAsia" w:ascii="Times New Roman" w:hAnsi="Times New Roman"/>
                <w:sz w:val="24"/>
                <w:szCs w:val="24"/>
              </w:rPr>
              <w:t>）：</w:t>
            </w:r>
          </w:p>
        </w:tc>
        <w:tc>
          <w:tcPr>
            <w:tcW w:w="511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Arial" w:hAnsi="Arial" w:cs="Arial"/>
                <w:sz w:val="24"/>
                <w:szCs w:val="24"/>
                <w:vertAlign w:val="superscript"/>
              </w:rPr>
            </w:pPr>
            <w:r>
              <w:rPr>
                <w:rFonts w:hint="eastAsia" w:ascii="Arial" w:hAnsi="Arial" w:cs="Arial"/>
                <w:sz w:val="24"/>
                <w:szCs w:val="24"/>
                <w:lang w:val="en-US" w:eastAsia="zh-CN"/>
              </w:rPr>
              <w:t>约1.0</w:t>
            </w:r>
            <w:r>
              <w:rPr>
                <w:rFonts w:ascii="Arial" w:hAnsi="Arial" w:cs="Arial"/>
                <w:sz w:val="24"/>
                <w:szCs w:val="24"/>
              </w:rPr>
              <w:t>g/cm</w:t>
            </w:r>
            <w:r>
              <w:rPr>
                <w:rFonts w:ascii="Arial" w:hAnsi="Arial" w:cs="Arial"/>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701"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Times New Roman" w:hAnsi="Times New Roman"/>
                <w:sz w:val="24"/>
                <w:szCs w:val="24"/>
              </w:rPr>
              <w:t>安全特性：</w:t>
            </w:r>
          </w:p>
        </w:tc>
        <w:tc>
          <w:tcPr>
            <w:tcW w:w="5111"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01" w:type="dxa"/>
            <w:tcBorders>
              <w:top w:val="single" w:color="000000" w:sz="12" w:space="0"/>
              <w:left w:val="nil"/>
              <w:bottom w:val="single" w:color="000000" w:sz="12" w:space="0"/>
              <w:right w:val="nil"/>
            </w:tcBorders>
            <w:vAlign w:val="center"/>
          </w:tcPr>
          <w:p>
            <w:pPr>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2"/>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1701" w:type="dxa"/>
            <w:tcBorders>
              <w:top w:val="single" w:color="000000" w:sz="12" w:space="0"/>
              <w:left w:val="nil"/>
              <w:bottom w:val="nil"/>
              <w:right w:val="nil"/>
            </w:tcBorders>
          </w:tcPr>
          <w:p>
            <w:pPr>
              <w:rPr>
                <w:rFonts w:hint="eastAsia" w:ascii="Times New Roman" w:hAnsi="Times New Roman"/>
                <w:sz w:val="24"/>
                <w:szCs w:val="24"/>
                <w:lang w:val="en-US" w:eastAsia="zh-CN"/>
              </w:rPr>
            </w:pPr>
            <w:r>
              <w:rPr>
                <w:rFonts w:hint="eastAsia" w:ascii="Times New Roman" w:hAnsi="Times New Roman"/>
                <w:sz w:val="24"/>
                <w:szCs w:val="24"/>
                <w:lang w:val="en-US" w:eastAsia="zh-CN"/>
              </w:rPr>
              <w:t>用途：</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tabs>
                <w:tab w:val="left" w:pos="8222"/>
              </w:tabs>
              <w:kinsoku/>
              <w:wordWrap/>
              <w:overflowPunct/>
              <w:topLinePunct w:val="0"/>
              <w:autoSpaceDE/>
              <w:autoSpaceDN/>
              <w:bidi w:val="0"/>
              <w:adjustRightInd/>
              <w:snapToGrid/>
              <w:spacing w:before="31" w:beforeLines="10" w:line="264" w:lineRule="auto"/>
              <w:ind w:right="45"/>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ZnST-75GE 是</w:t>
            </w:r>
            <w:r>
              <w:rPr>
                <w:rFonts w:hint="default" w:ascii="Times New Roman" w:hAnsi="Times New Roman"/>
                <w:sz w:val="24"/>
                <w:szCs w:val="24"/>
                <w:lang w:val="en-US" w:eastAsia="zh-CN"/>
              </w:rPr>
              <w:t>一种</w:t>
            </w:r>
            <w:r>
              <w:rPr>
                <w:rFonts w:hint="eastAsia" w:ascii="Times New Roman" w:hAnsi="Times New Roman"/>
                <w:sz w:val="24"/>
                <w:szCs w:val="24"/>
                <w:lang w:val="en-US" w:eastAsia="zh-CN"/>
              </w:rPr>
              <w:t>橡胶硫化</w:t>
            </w:r>
            <w:r>
              <w:rPr>
                <w:rFonts w:hint="default" w:ascii="Times New Roman" w:hAnsi="Times New Roman"/>
                <w:sz w:val="24"/>
                <w:szCs w:val="24"/>
                <w:lang w:val="en-US" w:eastAsia="zh-CN"/>
              </w:rPr>
              <w:t>活性</w:t>
            </w:r>
            <w:r>
              <w:rPr>
                <w:rFonts w:hint="eastAsia" w:ascii="Times New Roman" w:hAnsi="Times New Roman"/>
                <w:sz w:val="24"/>
                <w:szCs w:val="24"/>
                <w:lang w:val="en-US" w:eastAsia="zh-CN"/>
              </w:rPr>
              <w:t>剂</w:t>
            </w:r>
            <w:r>
              <w:rPr>
                <w:rFonts w:hint="default" w:ascii="Times New Roman" w:hAnsi="Times New Roman"/>
                <w:sz w:val="24"/>
                <w:szCs w:val="24"/>
                <w:lang w:val="en-US" w:eastAsia="zh-CN"/>
              </w:rPr>
              <w:t>，</w:t>
            </w:r>
            <w:r>
              <w:rPr>
                <w:rFonts w:hint="eastAsia" w:ascii="Times New Roman" w:hAnsi="Times New Roman"/>
                <w:sz w:val="24"/>
                <w:szCs w:val="24"/>
                <w:lang w:val="en-US" w:eastAsia="zh-CN"/>
              </w:rPr>
              <w:t>也可做</w:t>
            </w:r>
            <w:r>
              <w:rPr>
                <w:sz w:val="20"/>
                <w:szCs w:val="20"/>
              </w:rPr>
              <w:t>氯</w:t>
            </w:r>
            <w:r>
              <w:rPr>
                <w:rFonts w:hint="default" w:ascii="Times New Roman" w:hAnsi="Times New Roman"/>
                <w:sz w:val="24"/>
                <w:szCs w:val="24"/>
                <w:lang w:val="en-US" w:eastAsia="zh-CN"/>
              </w:rPr>
              <w:t>化聚乙烯的热稳定剂，同时也是天然橡胶最好的物理增塑解剂，</w:t>
            </w:r>
            <w:r>
              <w:rPr>
                <w:rFonts w:hint="eastAsia" w:ascii="Times New Roman" w:hAnsi="Times New Roman"/>
                <w:sz w:val="24"/>
                <w:szCs w:val="24"/>
                <w:lang w:val="en-US" w:eastAsia="zh-CN"/>
              </w:rPr>
              <w:t>还可做脱模</w:t>
            </w:r>
            <w:bookmarkStart w:id="0" w:name="_GoBack"/>
            <w:bookmarkEnd w:id="0"/>
            <w:r>
              <w:rPr>
                <w:rFonts w:hint="eastAsia" w:ascii="Times New Roman" w:hAnsi="Times New Roman"/>
                <w:sz w:val="24"/>
                <w:szCs w:val="24"/>
                <w:lang w:val="en-US" w:eastAsia="zh-CN"/>
              </w:rPr>
              <w:t>剂、</w:t>
            </w:r>
            <w:r>
              <w:rPr>
                <w:rFonts w:hint="default" w:ascii="Times New Roman" w:hAnsi="Times New Roman"/>
                <w:sz w:val="24"/>
                <w:szCs w:val="24"/>
                <w:lang w:val="en-US" w:eastAsia="zh-CN"/>
              </w:rPr>
              <w:t>为多用途橡胶加工助剂，应用于橡胶可提高硫化胶的抗硫化返原性能及耐热性，兼有内、外润滑及分散功能，可用于天然橡胶及合成橡胶的塑炼和混炼过程。与橡胶相容性极好，不喷霜具有塑解和润滑双重功能。可改良橡胶的加工工艺，提高橡胶制品的合格率和尺寸稳定性，降低能耗，提高混炼效率。在橡胶加工中使用，可改善胶料挤出性能，提高挤出速度和半成品的光滑度。</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701" w:type="dxa"/>
            <w:tcBorders>
              <w:top w:val="nil"/>
              <w:left w:val="nil"/>
              <w:bottom w:val="nil"/>
              <w:right w:val="nil"/>
            </w:tcBorders>
            <w:vAlign w:val="center"/>
          </w:tcPr>
          <w:p>
            <w:pPr>
              <w:jc w:val="both"/>
              <w:rPr>
                <w:rFonts w:ascii="Times New Roman" w:hAnsi="Times New Roman"/>
                <w:sz w:val="24"/>
                <w:szCs w:val="24"/>
              </w:rPr>
            </w:pPr>
            <w:r>
              <w:rPr>
                <w:rFonts w:hint="eastAsia" w:ascii="Times New Roman" w:hAnsi="Times New Roman"/>
                <w:sz w:val="24"/>
                <w:szCs w:val="24"/>
              </w:rPr>
              <w:t>用量：</w:t>
            </w:r>
          </w:p>
        </w:tc>
        <w:tc>
          <w:tcPr>
            <w:tcW w:w="7202"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Times New Roman" w:hAnsi="Times New Roman"/>
                <w:sz w:val="24"/>
                <w:szCs w:val="24"/>
                <w:lang w:val="en-US" w:eastAsia="zh-CN"/>
              </w:rPr>
            </w:pPr>
            <w:r>
              <w:rPr>
                <w:rFonts w:hint="default" w:ascii="Times New Roman" w:hAnsi="Times New Roman" w:cs="Times New Roman"/>
                <w:sz w:val="24"/>
                <w:szCs w:val="24"/>
                <w:lang w:val="en-US" w:eastAsia="zh-CN"/>
              </w:rPr>
              <w:t>通常</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做活性剂3</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5</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phr，加工助剂2</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4</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phr</w:t>
            </w:r>
            <w:r>
              <w:rPr>
                <w:rFonts w:hint="eastAsia" w:ascii="Times New Roman" w:hAnsi="Times New Roman" w:cs="Times New Roman"/>
                <w:sz w:val="24"/>
                <w:szCs w:val="24"/>
                <w:lang w:val="en-US" w:eastAsia="zh-CN"/>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701" w:type="dxa"/>
            <w:tcBorders>
              <w:top w:val="single" w:color="000000" w:sz="12" w:space="0"/>
              <w:left w:val="nil"/>
              <w:bottom w:val="nil"/>
              <w:right w:val="nil"/>
            </w:tcBorders>
            <w:vAlign w:val="center"/>
          </w:tcPr>
          <w:p>
            <w:pP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应用</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64" w:lineRule="auto"/>
              <w:jc w:val="left"/>
              <w:textAlignment w:val="auto"/>
              <w:rPr>
                <w:rFonts w:hint="eastAsia" w:ascii="Times New Roman" w:hAnsi="Times New Roman"/>
                <w:sz w:val="24"/>
                <w:szCs w:val="24"/>
              </w:rPr>
            </w:pPr>
            <w:r>
              <w:rPr>
                <w:rFonts w:hint="default" w:ascii="Times New Roman" w:hAnsi="Times New Roman" w:cs="Times New Roman"/>
                <w:sz w:val="24"/>
                <w:szCs w:val="24"/>
                <w:lang w:eastAsia="zh-CN"/>
              </w:rPr>
              <w:t>用于</w:t>
            </w:r>
            <w:r>
              <w:rPr>
                <w:rFonts w:hint="eastAsia" w:ascii="Times New Roman" w:hAnsi="Times New Roman" w:cs="Times New Roman"/>
                <w:sz w:val="24"/>
                <w:szCs w:val="24"/>
                <w:lang w:val="en-US" w:eastAsia="zh-CN"/>
              </w:rPr>
              <w:t>天然橡胶、合成橡胶等模压、挤出橡胶制品</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701"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包装：</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Times New Roman" w:hAnsi="Times New Roman"/>
                <w:sz w:val="24"/>
                <w:szCs w:val="24"/>
              </w:rPr>
              <w:t>内衬PE袋的纸箱</w:t>
            </w:r>
            <w:r>
              <w:rPr>
                <w:rFonts w:hint="eastAsia" w:ascii="Times New Roman" w:hAnsi="Times New Roman"/>
                <w:sz w:val="24"/>
                <w:szCs w:val="24"/>
                <w:lang w:eastAsia="zh-CN"/>
              </w:rPr>
              <w:t>，</w:t>
            </w:r>
            <w:r>
              <w:rPr>
                <w:rFonts w:hint="eastAsia" w:ascii="Times New Roman" w:hAnsi="Times New Roman"/>
                <w:sz w:val="24"/>
                <w:szCs w:val="24"/>
              </w:rPr>
              <w:t>每箱净重2</w:t>
            </w:r>
            <w:r>
              <w:rPr>
                <w:rFonts w:hint="eastAsia" w:ascii="Times New Roman" w:hAnsi="Times New Roman"/>
                <w:sz w:val="24"/>
                <w:szCs w:val="24"/>
                <w:lang w:val="en-US" w:eastAsia="zh-CN"/>
              </w:rPr>
              <w:t>5</w:t>
            </w:r>
            <w:r>
              <w:rPr>
                <w:rFonts w:hint="eastAsia" w:ascii="Times New Roman" w:hAnsi="Times New Roman"/>
                <w:sz w:val="24"/>
                <w:szCs w:val="24"/>
              </w:rPr>
              <w:t>KG</w:t>
            </w:r>
            <w:r>
              <w:rPr>
                <w:rFonts w:hint="eastAsia" w:ascii="Times New Roman" w:hAnsi="Times New Roman"/>
                <w:sz w:val="24"/>
                <w:szCs w:val="24"/>
                <w:lang w:eastAsia="zh-CN"/>
              </w:rPr>
              <w:t>，</w:t>
            </w:r>
            <w:r>
              <w:rPr>
                <w:rFonts w:hint="eastAsia" w:ascii="Times New Roman" w:hAnsi="Times New Roman"/>
                <w:sz w:val="24"/>
                <w:szCs w:val="24"/>
                <w:lang w:val="en-US" w:eastAsia="zh-CN"/>
              </w:rPr>
              <w:t>600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储存稳定性：</w:t>
            </w:r>
          </w:p>
        </w:tc>
        <w:tc>
          <w:tcPr>
            <w:tcW w:w="7202"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Times New Roman" w:hAnsi="Times New Roman"/>
                <w:sz w:val="24"/>
                <w:szCs w:val="24"/>
              </w:rPr>
              <w:t>密封储存在阴凉、干燥、通风良好的地方，建议产品保存期限为</w:t>
            </w:r>
            <w:r>
              <w:rPr>
                <w:rFonts w:hint="eastAsia" w:ascii="Times New Roman" w:hAnsi="Times New Roman"/>
                <w:sz w:val="24"/>
                <w:szCs w:val="24"/>
                <w:lang w:val="en-US" w:eastAsia="zh-CN"/>
              </w:rPr>
              <w:t>两</w:t>
            </w:r>
            <w:r>
              <w:rPr>
                <w:rFonts w:hint="eastAsia" w:ascii="Times New Roman" w:hAnsi="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701"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02"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ZnST-75GE</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lang w:eastAsia="zh-CN"/>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ZnST-75GE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66</w:t>
      </w:r>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13B5220A"/>
    <w:rsid w:val="15D708B1"/>
    <w:rsid w:val="184734BF"/>
    <w:rsid w:val="1D210235"/>
    <w:rsid w:val="2184267D"/>
    <w:rsid w:val="28072B90"/>
    <w:rsid w:val="2CEE0255"/>
    <w:rsid w:val="2FB67C49"/>
    <w:rsid w:val="3369153E"/>
    <w:rsid w:val="356631BB"/>
    <w:rsid w:val="35695FC9"/>
    <w:rsid w:val="39B22608"/>
    <w:rsid w:val="3B31445D"/>
    <w:rsid w:val="3F4D0F75"/>
    <w:rsid w:val="42B34186"/>
    <w:rsid w:val="43825436"/>
    <w:rsid w:val="4383152C"/>
    <w:rsid w:val="468C28DD"/>
    <w:rsid w:val="4A381337"/>
    <w:rsid w:val="4C422A9E"/>
    <w:rsid w:val="4EC72333"/>
    <w:rsid w:val="55F02EDD"/>
    <w:rsid w:val="72BE220F"/>
    <w:rsid w:val="753C04F3"/>
    <w:rsid w:val="78771C2C"/>
    <w:rsid w:val="7BCD11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585</Words>
  <Characters>754</Characters>
  <Lines>6</Lines>
  <Paragraphs>1</Paragraphs>
  <TotalTime>5</TotalTime>
  <ScaleCrop>false</ScaleCrop>
  <LinksUpToDate>false</LinksUpToDate>
  <CharactersWithSpaces>807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2021-03-12T03:54:25Z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