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22" w:tblpY="514"/>
        <w:tblOverlap w:val="never"/>
        <w:tblW w:w="9006" w:type="dxa"/>
        <w:tblInd w:w="0" w:type="dxa"/>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482"/>
        <w:gridCol w:w="503"/>
        <w:gridCol w:w="5320"/>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3183" w:type="dxa"/>
            <w:gridSpan w:val="2"/>
            <w:tcBorders>
              <w:top w:val="single" w:color="000000" w:sz="12" w:space="0"/>
              <w:bottom w:val="single" w:color="000000" w:sz="12" w:space="0"/>
              <w:right w:val="nil"/>
            </w:tcBorders>
            <w:vAlign w:val="center"/>
          </w:tcPr>
          <w:p>
            <w:pPr>
              <w:rPr>
                <w:rFonts w:hint="eastAsia" w:ascii="Times New Roman" w:hAnsi="Times New Roman" w:eastAsia="宋体" w:cs="Times New Roman"/>
                <w:b/>
                <w:sz w:val="32"/>
                <w:szCs w:val="32"/>
                <w:lang w:val="en-US" w:eastAsia="zh-CN"/>
              </w:rPr>
            </w:pPr>
            <w:r>
              <w:rPr>
                <w:rFonts w:hint="default" w:ascii="Times New Roman" w:hAnsi="Times New Roman" w:cs="Times New Roman"/>
                <w:b/>
                <w:sz w:val="32"/>
                <w:szCs w:val="32"/>
              </w:rPr>
              <w:t>Actmix</w:t>
            </w:r>
            <w:r>
              <w:rPr>
                <w:rFonts w:hint="eastAsia" w:ascii="Times New Roman" w:hAnsi="Times New Roman" w:cs="Times New Roman"/>
                <w:b/>
                <w:sz w:val="32"/>
                <w:szCs w:val="32"/>
                <w:lang w:val="en-US" w:eastAsia="zh-CN"/>
              </w:rPr>
              <w:t xml:space="preserve"> </w:t>
            </w:r>
            <w:r>
              <w:rPr>
                <w:rFonts w:hint="eastAsia" w:ascii="Arial" w:hAnsi="Arial" w:cs="Arial"/>
                <w:b/>
                <w:sz w:val="32"/>
                <w:szCs w:val="32"/>
                <w:lang w:val="en-US" w:eastAsia="zh-CN"/>
              </w:rPr>
              <w:t>GR-50GE</w:t>
            </w:r>
          </w:p>
        </w:tc>
        <w:tc>
          <w:tcPr>
            <w:tcW w:w="5823" w:type="dxa"/>
            <w:gridSpan w:val="2"/>
            <w:tcBorders>
              <w:top w:val="single" w:color="000000" w:sz="12" w:space="0"/>
              <w:left w:val="nil"/>
              <w:bottom w:val="single" w:color="000000" w:sz="12" w:space="0"/>
            </w:tcBorders>
            <w:vAlign w:val="center"/>
          </w:tcPr>
          <w:p>
            <w:pPr>
              <w:rPr>
                <w:rFonts w:hint="eastAsia" w:ascii="Times New Roman" w:hAnsi="Times New Roman" w:eastAsia="宋体" w:cs="Times New Roman"/>
                <w:sz w:val="32"/>
                <w:szCs w:val="32"/>
                <w:lang w:val="en-US" w:eastAsia="zh-CN"/>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cs="Times New Roman"/>
                <w:b w:val="0"/>
                <w:bCs w:val="0"/>
                <w:sz w:val="32"/>
                <w:szCs w:val="32"/>
                <w:lang w:val="en-US" w:eastAsia="zh-CN"/>
              </w:rPr>
              <w:t xml:space="preserve">  </w:t>
            </w:r>
            <w:r>
              <w:rPr>
                <w:rFonts w:hint="default" w:ascii="Times New Roman" w:hAnsi="Times New Roman" w:cs="Times New Roman"/>
                <w:b w:val="0"/>
                <w:bCs w:val="0"/>
                <w:sz w:val="32"/>
                <w:szCs w:val="32"/>
              </w:rPr>
              <w:t>预分散</w:t>
            </w:r>
            <w:r>
              <w:rPr>
                <w:rFonts w:hint="eastAsia" w:ascii="Times New Roman" w:hAnsi="Times New Roman" w:cs="Times New Roman"/>
                <w:b w:val="0"/>
                <w:bCs w:val="0"/>
                <w:sz w:val="32"/>
                <w:szCs w:val="32"/>
                <w:lang w:eastAsia="zh-CN"/>
              </w:rPr>
              <w:t>橡胶</w:t>
            </w:r>
            <w:r>
              <w:rPr>
                <w:rFonts w:hint="eastAsia" w:ascii="Times New Roman" w:hAnsi="Times New Roman" w:cs="Times New Roman"/>
                <w:b w:val="0"/>
                <w:bCs w:val="0"/>
                <w:color w:val="auto"/>
                <w:sz w:val="32"/>
                <w:szCs w:val="32"/>
                <w:lang w:eastAsia="zh-CN"/>
              </w:rPr>
              <w:t>助</w:t>
            </w:r>
            <w:r>
              <w:rPr>
                <w:rFonts w:hint="eastAsia" w:ascii="Times New Roman" w:hAnsi="Times New Roman" w:cs="Times New Roman"/>
                <w:b w:val="0"/>
                <w:bCs w:val="0"/>
                <w:sz w:val="32"/>
                <w:szCs w:val="32"/>
                <w:lang w:eastAsia="zh-CN"/>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701" w:type="dxa"/>
            <w:tcBorders>
              <w:top w:val="single" w:color="000000" w:sz="12" w:space="0"/>
              <w:left w:val="nil"/>
              <w:bottom w:val="single" w:color="000000" w:sz="12" w:space="0"/>
              <w:right w:val="nil"/>
            </w:tcBorders>
            <w:vAlign w:val="center"/>
          </w:tcPr>
          <w:p>
            <w:pPr>
              <w:rPr>
                <w:rFonts w:hint="default" w:ascii="Times New Roman" w:hAnsi="Times New Roman" w:cs="Times New Roman"/>
                <w:b/>
                <w:sz w:val="24"/>
                <w:szCs w:val="24"/>
              </w:rPr>
            </w:pPr>
            <w:r>
              <w:rPr>
                <w:rFonts w:hint="default" w:ascii="Times New Roman" w:hAnsi="Times New Roman" w:cs="Times New Roman"/>
                <w:b/>
                <w:sz w:val="24"/>
                <w:szCs w:val="24"/>
              </w:rPr>
              <w:t>功能</w:t>
            </w:r>
          </w:p>
        </w:tc>
        <w:tc>
          <w:tcPr>
            <w:tcW w:w="7305"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功能性碳系填料，可赋予橡胶优异的导电性、导热性和力学强度</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701" w:type="dxa"/>
            <w:vMerge w:val="restart"/>
            <w:tcBorders>
              <w:top w:val="single" w:color="000000" w:sz="12" w:space="0"/>
              <w:left w:val="nil"/>
              <w:bottom w:val="single" w:color="000000" w:sz="4" w:space="0"/>
              <w:right w:val="nil"/>
            </w:tcBorders>
          </w:tcPr>
          <w:p>
            <w:pPr>
              <w:rPr>
                <w:rFonts w:hint="default" w:ascii="Times New Roman" w:hAnsi="Times New Roman" w:cs="Times New Roman"/>
                <w:b/>
                <w:sz w:val="24"/>
                <w:szCs w:val="24"/>
              </w:rPr>
            </w:pPr>
            <w:r>
              <w:rPr>
                <w:rFonts w:hint="default" w:ascii="Times New Roman" w:hAnsi="Times New Roman" w:cs="Times New Roman"/>
                <w:b/>
                <w:sz w:val="24"/>
                <w:szCs w:val="24"/>
              </w:rPr>
              <w:t>产品说明</w:t>
            </w:r>
          </w:p>
        </w:tc>
        <w:tc>
          <w:tcPr>
            <w:tcW w:w="1985"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组成：</w:t>
            </w:r>
          </w:p>
        </w:tc>
        <w:tc>
          <w:tcPr>
            <w:tcW w:w="5320" w:type="dxa"/>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50</w:t>
            </w:r>
            <w:r>
              <w:rPr>
                <w:rFonts w:hint="default" w:ascii="Times New Roman" w:hAnsi="Times New Roman" w:cs="Times New Roman"/>
                <w:sz w:val="24"/>
                <w:szCs w:val="24"/>
                <w:lang w:val="en-US" w:eastAsia="zh-CN"/>
              </w:rPr>
              <w:t>%</w:t>
            </w:r>
            <w:r>
              <w:rPr>
                <w:rFonts w:hint="eastAsia" w:ascii="NSimSun+FPEF" w:hAnsi="NSimSun+FPEF" w:eastAsia="NSimSun+FPEF"/>
                <w:sz w:val="24"/>
                <w:szCs w:val="24"/>
                <w:lang w:eastAsia="zh-CN"/>
              </w:rPr>
              <w:t>石墨烯</w:t>
            </w:r>
            <w:r>
              <w:rPr>
                <w:rFonts w:hint="eastAsia" w:ascii="Times New Roman" w:hAnsi="Times New Roman" w:cs="Times New Roman"/>
                <w:sz w:val="24"/>
                <w:szCs w:val="24"/>
                <w:lang w:val="en-US" w:eastAsia="zh-CN"/>
              </w:rPr>
              <w:t>和5</w:t>
            </w:r>
            <w:r>
              <w:rPr>
                <w:rFonts w:hint="default" w:ascii="Times New Roman" w:hAnsi="Times New Roman" w:cs="Times New Roman"/>
                <w:sz w:val="24"/>
                <w:szCs w:val="24"/>
                <w:lang w:val="en-US" w:eastAsia="zh-CN"/>
              </w:rPr>
              <w:t>0%橡胶</w:t>
            </w:r>
            <w:r>
              <w:rPr>
                <w:rFonts w:hint="eastAsia" w:ascii="Times New Roman" w:hAnsi="Times New Roman" w:cs="Times New Roman"/>
                <w:sz w:val="24"/>
                <w:szCs w:val="24"/>
                <w:lang w:val="en-US" w:eastAsia="zh-CN"/>
              </w:rPr>
              <w:t>预分散</w:t>
            </w:r>
            <w:r>
              <w:rPr>
                <w:rFonts w:hint="default" w:ascii="Times New Roman" w:hAnsi="Times New Roman" w:cs="Times New Roman"/>
                <w:sz w:val="24"/>
                <w:szCs w:val="24"/>
                <w:lang w:val="en-US" w:eastAsia="zh-CN"/>
              </w:rPr>
              <w:t>载体</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hint="default" w:ascii="Times New Roman" w:hAnsi="Times New Roman" w:cs="Times New Roman"/>
                <w:b/>
                <w:sz w:val="24"/>
                <w:szCs w:val="24"/>
              </w:rPr>
            </w:pPr>
          </w:p>
        </w:tc>
        <w:tc>
          <w:tcPr>
            <w:tcW w:w="1985"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外观：</w:t>
            </w:r>
          </w:p>
        </w:tc>
        <w:tc>
          <w:tcPr>
            <w:tcW w:w="532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黑色</w:t>
            </w:r>
            <w:r>
              <w:rPr>
                <w:rFonts w:hint="default" w:ascii="Times New Roman" w:hAnsi="Times New Roman" w:eastAsia="宋体" w:cs="Times New Roman"/>
                <w:sz w:val="24"/>
                <w:szCs w:val="24"/>
                <w:lang w:val="en-US" w:eastAsia="zh-CN"/>
              </w:rPr>
              <w:t>颗粒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hint="default" w:ascii="Times New Roman" w:hAnsi="Times New Roman" w:cs="Times New Roman"/>
                <w:b/>
                <w:sz w:val="24"/>
                <w:szCs w:val="24"/>
              </w:rPr>
            </w:pPr>
          </w:p>
        </w:tc>
        <w:tc>
          <w:tcPr>
            <w:tcW w:w="1985"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密度（20 °C）：</w:t>
            </w:r>
          </w:p>
        </w:tc>
        <w:tc>
          <w:tcPr>
            <w:tcW w:w="532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cs="Times New Roman"/>
                <w:sz w:val="24"/>
                <w:szCs w:val="24"/>
                <w:vertAlign w:val="superscript"/>
              </w:rPr>
            </w:pPr>
            <w:r>
              <w:rPr>
                <w:rFonts w:hint="default" w:ascii="Times New Roman" w:hAnsi="Times New Roman" w:cs="Times New Roman"/>
                <w:sz w:val="24"/>
                <w:szCs w:val="24"/>
                <w:lang w:val="en-US" w:eastAsia="zh-CN"/>
              </w:rPr>
              <w:t>约</w:t>
            </w:r>
            <w:r>
              <w:rPr>
                <w:rFonts w:hint="eastAsia" w:ascii="Times New Roman" w:hAnsi="Times New Roman" w:cs="Times New Roman"/>
                <w:sz w:val="24"/>
                <w:szCs w:val="24"/>
                <w:lang w:val="en-US" w:eastAsia="zh-CN"/>
              </w:rPr>
              <w:t>1.20</w:t>
            </w:r>
            <w:r>
              <w:rPr>
                <w:rFonts w:hint="default" w:ascii="Times New Roman" w:hAnsi="Times New Roman" w:cs="Times New Roman"/>
                <w:sz w:val="24"/>
                <w:szCs w:val="24"/>
              </w:rPr>
              <w:t>g/cm</w:t>
            </w:r>
            <w:r>
              <w:rPr>
                <w:rFonts w:hint="default" w:ascii="Times New Roman" w:hAnsi="Times New Roman" w:cs="Times New Roman"/>
                <w:sz w:val="24"/>
                <w:szCs w:val="24"/>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701" w:type="dxa"/>
            <w:vMerge w:val="continue"/>
            <w:tcBorders>
              <w:top w:val="single" w:color="000000" w:sz="4" w:space="0"/>
              <w:left w:val="nil"/>
              <w:bottom w:val="single" w:color="000000" w:sz="12" w:space="0"/>
              <w:right w:val="nil"/>
            </w:tcBorders>
            <w:vAlign w:val="center"/>
          </w:tcPr>
          <w:p>
            <w:pPr>
              <w:spacing w:beforeLines="100" w:afterLines="50"/>
              <w:rPr>
                <w:rFonts w:hint="default" w:ascii="Times New Roman" w:hAnsi="Times New Roman" w:cs="Times New Roman"/>
                <w:b/>
                <w:sz w:val="24"/>
                <w:szCs w:val="24"/>
              </w:rPr>
            </w:pPr>
          </w:p>
        </w:tc>
        <w:tc>
          <w:tcPr>
            <w:tcW w:w="1985"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安全特性：</w:t>
            </w:r>
          </w:p>
        </w:tc>
        <w:tc>
          <w:tcPr>
            <w:tcW w:w="5320"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1701" w:type="dxa"/>
            <w:tcBorders>
              <w:top w:val="single" w:color="000000" w:sz="12" w:space="0"/>
              <w:left w:val="nil"/>
              <w:bottom w:val="single" w:color="000000" w:sz="12" w:space="0"/>
              <w:right w:val="nil"/>
            </w:tcBorders>
            <w:vAlign w:val="center"/>
          </w:tcPr>
          <w:p>
            <w:pPr>
              <w:rPr>
                <w:rFonts w:hint="default" w:ascii="Times New Roman" w:hAnsi="Times New Roman" w:eastAsia="宋体" w:cs="Times New Roman"/>
                <w:b/>
                <w:sz w:val="24"/>
                <w:szCs w:val="24"/>
                <w:lang w:val="en-US" w:eastAsia="zh-CN"/>
              </w:rPr>
            </w:pPr>
            <w:r>
              <w:rPr>
                <w:rFonts w:hint="default" w:ascii="Times New Roman" w:hAnsi="Times New Roman" w:cs="Times New Roman"/>
                <w:b/>
                <w:sz w:val="24"/>
                <w:szCs w:val="24"/>
                <w:lang w:val="en-US" w:eastAsia="zh-CN"/>
              </w:rPr>
              <w:t>应用资料</w:t>
            </w:r>
          </w:p>
        </w:tc>
        <w:tc>
          <w:tcPr>
            <w:tcW w:w="7305"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cs="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701" w:type="dxa"/>
            <w:tcBorders>
              <w:top w:val="single" w:color="000000" w:sz="12" w:space="0"/>
              <w:left w:val="nil"/>
              <w:bottom w:val="nil"/>
              <w:right w:val="nil"/>
            </w:tcBorders>
          </w:tcPr>
          <w:p>
            <w:pPr>
              <w:rPr>
                <w:rFonts w:hint="default" w:ascii="Times New Roman" w:hAnsi="Times New Roman" w:cs="Times New Roman"/>
                <w:sz w:val="24"/>
                <w:szCs w:val="24"/>
              </w:rPr>
            </w:pPr>
            <w:r>
              <w:rPr>
                <w:rFonts w:hint="default" w:ascii="Times New Roman" w:hAnsi="Times New Roman" w:cs="Times New Roman"/>
                <w:sz w:val="24"/>
                <w:szCs w:val="24"/>
                <w:lang w:val="en-US" w:eastAsia="zh-CN"/>
              </w:rPr>
              <w:t>用途</w:t>
            </w:r>
            <w:r>
              <w:rPr>
                <w:rFonts w:hint="default" w:ascii="Times New Roman" w:hAnsi="Times New Roman" w:cs="Times New Roman"/>
                <w:sz w:val="24"/>
                <w:szCs w:val="24"/>
              </w:rPr>
              <w:t>：</w:t>
            </w:r>
          </w:p>
        </w:tc>
        <w:tc>
          <w:tcPr>
            <w:tcW w:w="7305"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Actmix</w:t>
            </w:r>
            <w:r>
              <w:rPr>
                <w:rFonts w:hint="eastAsia" w:ascii="Times New Roman" w:hAnsi="Times New Roman" w:cs="Times New Roman"/>
                <w:sz w:val="24"/>
                <w:szCs w:val="24"/>
                <w:lang w:val="en-US" w:eastAsia="zh-CN"/>
              </w:rPr>
              <w:t xml:space="preserve"> GR-50GE</w:t>
            </w:r>
            <w:r>
              <w:rPr>
                <w:rFonts w:hint="eastAsia" w:ascii="宋体" w:hAnsi="宋体" w:eastAsia="宋体"/>
                <w:color w:val="000000"/>
                <w:sz w:val="24"/>
                <w:szCs w:val="24"/>
              </w:rPr>
              <w:t>是一种预分散的</w:t>
            </w:r>
            <w:r>
              <w:rPr>
                <w:rFonts w:hint="eastAsia" w:ascii="宋体" w:hAnsi="宋体"/>
                <w:color w:val="000000"/>
                <w:sz w:val="24"/>
                <w:szCs w:val="24"/>
                <w:lang w:eastAsia="zh-CN"/>
              </w:rPr>
              <w:t>碳系功能助</w:t>
            </w:r>
            <w:r>
              <w:rPr>
                <w:rFonts w:hint="eastAsia" w:ascii="宋体" w:hAnsi="宋体" w:eastAsia="宋体"/>
                <w:color w:val="000000"/>
                <w:sz w:val="24"/>
                <w:szCs w:val="24"/>
              </w:rPr>
              <w:t>剂，</w:t>
            </w:r>
            <w:r>
              <w:rPr>
                <w:rFonts w:hint="eastAsia" w:ascii="Arial" w:hAnsi="Arial" w:eastAsia="宋体" w:cs="Arial"/>
                <w:i w:val="0"/>
                <w:caps w:val="0"/>
                <w:color w:val="333333"/>
                <w:spacing w:val="0"/>
                <w:sz w:val="21"/>
                <w:szCs w:val="21"/>
                <w:shd w:val="clear" w:fill="FFFFFF"/>
              </w:rPr>
              <w:t>有</w:t>
            </w:r>
            <w:r>
              <w:rPr>
                <w:rFonts w:hint="eastAsia" w:ascii="宋体" w:hAnsi="宋体" w:eastAsia="宋体"/>
                <w:color w:val="000000"/>
                <w:sz w:val="24"/>
                <w:szCs w:val="24"/>
              </w:rPr>
              <w:t>优异的光学、电学、</w:t>
            </w:r>
            <w:r>
              <w:rPr>
                <w:rFonts w:hint="eastAsia" w:ascii="宋体" w:hAnsi="宋体"/>
                <w:color w:val="000000"/>
                <w:sz w:val="24"/>
                <w:szCs w:val="24"/>
                <w:lang w:eastAsia="zh-CN"/>
              </w:rPr>
              <w:t>导热、</w:t>
            </w:r>
            <w:r>
              <w:rPr>
                <w:rFonts w:hint="eastAsia" w:ascii="宋体" w:hAnsi="宋体" w:eastAsia="宋体"/>
                <w:color w:val="000000"/>
                <w:sz w:val="24"/>
                <w:szCs w:val="24"/>
              </w:rPr>
              <w:t>力学特性。石墨烯预分散母胶粒产品具有良好的分散性、高的视密度，在达到同等性能情况下可以使石墨烯的添加用量显著降低，并可以大幅缩短混炼时间，以及提高计量准确性和改善加工环境。</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701" w:type="dxa"/>
            <w:tcBorders>
              <w:top w:val="nil"/>
              <w:left w:val="nil"/>
              <w:bottom w:val="nil"/>
              <w:right w:val="nil"/>
            </w:tcBorders>
            <w:vAlign w:val="center"/>
          </w:tcPr>
          <w:p>
            <w:pPr>
              <w:jc w:val="both"/>
              <w:rPr>
                <w:rFonts w:hint="default" w:ascii="Times New Roman" w:hAnsi="Times New Roman" w:cs="Times New Roman"/>
                <w:sz w:val="24"/>
                <w:szCs w:val="24"/>
              </w:rPr>
            </w:pPr>
            <w:r>
              <w:rPr>
                <w:rFonts w:hint="default" w:ascii="Times New Roman" w:hAnsi="Times New Roman" w:cs="Times New Roman"/>
                <w:sz w:val="24"/>
                <w:szCs w:val="24"/>
              </w:rPr>
              <w:t>用量：</w:t>
            </w:r>
          </w:p>
        </w:tc>
        <w:tc>
          <w:tcPr>
            <w:tcW w:w="7305"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建议添加量为</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.0-</w:t>
            </w: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lang w:val="en-US" w:eastAsia="zh-CN"/>
              </w:rPr>
              <w:t>.0 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701" w:type="dxa"/>
            <w:tcBorders>
              <w:top w:val="single" w:color="000000" w:sz="12" w:space="0"/>
              <w:left w:val="nil"/>
              <w:bottom w:val="nil"/>
              <w:right w:val="nil"/>
            </w:tcBorders>
            <w:vAlign w:val="center"/>
          </w:tcPr>
          <w:p>
            <w:pPr>
              <w:spacing w:line="360" w:lineRule="auto"/>
              <w:jc w:val="left"/>
              <w:rPr>
                <w:rFonts w:hint="default" w:ascii="宋体" w:hAnsi="宋体" w:eastAsia="宋体"/>
                <w:color w:val="000000"/>
                <w:sz w:val="24"/>
                <w:szCs w:val="24"/>
                <w:lang w:val="en-US" w:eastAsia="zh-CN"/>
              </w:rPr>
            </w:pPr>
            <w:r>
              <w:rPr>
                <w:rFonts w:hint="default" w:ascii="宋体" w:hAnsi="宋体" w:eastAsia="宋体"/>
                <w:color w:val="000000"/>
                <w:sz w:val="24"/>
                <w:szCs w:val="24"/>
                <w:lang w:val="en-US" w:eastAsia="zh-CN"/>
              </w:rPr>
              <w:t>应用</w:t>
            </w:r>
          </w:p>
        </w:tc>
        <w:tc>
          <w:tcPr>
            <w:tcW w:w="7305"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24"/>
                <w:szCs w:val="24"/>
              </w:rPr>
            </w:pPr>
            <w:r>
              <w:rPr>
                <w:rFonts w:hint="eastAsia" w:ascii="宋体" w:hAnsi="宋体" w:eastAsia="宋体"/>
                <w:color w:val="000000"/>
                <w:sz w:val="24"/>
                <w:szCs w:val="24"/>
              </w:rPr>
              <w:t>适用于对导电、导热性能有特殊要求的橡胶制品。</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701" w:type="dxa"/>
            <w:tcBorders>
              <w:top w:val="single" w:color="000000" w:sz="12" w:space="0"/>
              <w:left w:val="nil"/>
              <w:bottom w:val="nil"/>
              <w:right w:val="nil"/>
            </w:tcBorders>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包装：</w:t>
            </w:r>
          </w:p>
        </w:tc>
        <w:tc>
          <w:tcPr>
            <w:tcW w:w="7305"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内衬PE袋的纸箱，每箱净重2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KG；</w:t>
            </w:r>
            <w:r>
              <w:rPr>
                <w:rFonts w:hint="default" w:ascii="Times New Roman" w:hAnsi="Times New Roman" w:cs="Times New Roman"/>
                <w:sz w:val="24"/>
                <w:szCs w:val="24"/>
                <w:lang w:val="en-US" w:eastAsia="zh-CN"/>
              </w:rPr>
              <w:t>600</w:t>
            </w:r>
            <w:r>
              <w:rPr>
                <w:rFonts w:hint="default" w:ascii="Times New Roman" w:hAnsi="Times New Roman" w:cs="Times New Roman"/>
                <w:sz w:val="24"/>
                <w:szCs w:val="24"/>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rPr>
                <w:rFonts w:hint="default" w:ascii="Times New Roman" w:hAnsi="Times New Roman" w:cs="Times New Roman"/>
                <w:sz w:val="24"/>
                <w:szCs w:val="24"/>
              </w:rPr>
            </w:pPr>
            <w:r>
              <w:rPr>
                <w:rFonts w:hint="default" w:ascii="Times New Roman" w:hAnsi="Times New Roman" w:cs="Times New Roman"/>
                <w:sz w:val="24"/>
                <w:szCs w:val="24"/>
              </w:rPr>
              <w:t>储存稳定性：</w:t>
            </w:r>
          </w:p>
        </w:tc>
        <w:tc>
          <w:tcPr>
            <w:tcW w:w="7305"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密封储存在阴凉、干燥、通风良好的地方，建议产品保存期限为</w:t>
            </w:r>
            <w:r>
              <w:rPr>
                <w:rFonts w:hint="eastAsia" w:ascii="Times New Roman" w:hAnsi="Times New Roman" w:cs="Times New Roman"/>
                <w:sz w:val="24"/>
                <w:szCs w:val="24"/>
                <w:lang w:val="en-US" w:eastAsia="zh-CN"/>
              </w:rPr>
              <w:t>一</w:t>
            </w:r>
            <w:r>
              <w:rPr>
                <w:rFonts w:hint="default" w:ascii="Times New Roman" w:hAnsi="Times New Roman" w:cs="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701" w:type="dxa"/>
            <w:tcBorders>
              <w:top w:val="nil"/>
              <w:left w:val="nil"/>
              <w:bottom w:val="single" w:color="000000" w:sz="12" w:space="0"/>
              <w:right w:val="nil"/>
            </w:tcBorders>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处置：</w:t>
            </w:r>
          </w:p>
        </w:tc>
        <w:tc>
          <w:tcPr>
            <w:tcW w:w="7305" w:type="dxa"/>
            <w:gridSpan w:val="3"/>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有关</w:t>
            </w:r>
            <w:r>
              <w:rPr>
                <w:rFonts w:hint="default" w:ascii="Times New Roman" w:hAnsi="Times New Roman" w:cs="Times New Roman"/>
                <w:sz w:val="24"/>
                <w:szCs w:val="24"/>
              </w:rPr>
              <w:t>其他处理信息，请参考</w:t>
            </w:r>
            <w:r>
              <w:rPr>
                <w:rFonts w:hint="default" w:ascii="Times New Roman" w:hAnsi="Times New Roman" w:cs="Times New Roman"/>
                <w:bCs/>
                <w:sz w:val="24"/>
                <w:szCs w:val="24"/>
              </w:rPr>
              <w:t xml:space="preserve">Actmix </w:t>
            </w:r>
            <w:r>
              <w:rPr>
                <w:rFonts w:hint="eastAsia" w:ascii="Times New Roman" w:hAnsi="Times New Roman" w:cs="Times New Roman"/>
                <w:bCs/>
                <w:sz w:val="24"/>
                <w:szCs w:val="24"/>
                <w:lang w:val="en-US" w:eastAsia="zh-CN"/>
              </w:rPr>
              <w:t>GR-50GE</w:t>
            </w:r>
            <w:r>
              <w:rPr>
                <w:rFonts w:hint="default" w:ascii="Times New Roman" w:hAnsi="Times New Roman" w:cs="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9006" w:type="dxa"/>
            <w:gridSpan w:val="4"/>
            <w:tcBorders>
              <w:top w:val="single" w:color="000000" w:sz="12" w:space="0"/>
              <w:left w:val="nil"/>
              <w:bottom w:val="nil"/>
              <w:right w:val="nil"/>
            </w:tcBorders>
            <w:vAlign w:val="center"/>
          </w:tcPr>
          <w:p>
            <w:pPr>
              <w:spacing w:line="252" w:lineRule="auto"/>
              <w:rPr>
                <w:rFonts w:hint="default" w:ascii="Times New Roman" w:hAnsi="Times New Roman" w:cs="Times New Roman"/>
                <w:sz w:val="18"/>
                <w:szCs w:val="18"/>
              </w:rPr>
            </w:pPr>
            <w:r>
              <w:rPr>
                <w:rFonts w:hint="default" w:ascii="Times New Roman" w:hAnsi="Times New Roman" w:cs="Times New Roman"/>
                <w:sz w:val="18"/>
                <w:szCs w:val="18"/>
                <w:lang w:eastAsia="zh-CN"/>
              </w:rPr>
              <w:tab/>
            </w:r>
          </w:p>
          <w:p>
            <w:pPr>
              <w:spacing w:line="252" w:lineRule="auto"/>
              <w:rPr>
                <w:rFonts w:hint="default" w:ascii="Times New Roman" w:hAnsi="Times New Roman" w:cs="Times New Roman"/>
                <w:sz w:val="18"/>
                <w:szCs w:val="18"/>
              </w:rPr>
            </w:pPr>
            <w:r>
              <w:rPr>
                <w:rFonts w:hint="default" w:ascii="Times New Roman" w:hAnsi="Times New Roman" w:cs="Times New Roman"/>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int="default" w:ascii="Times New Roman" w:hAnsi="Times New Roman" w:cs="Times New Roman"/>
                <w:sz w:val="18"/>
                <w:szCs w:val="18"/>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006" w:type="dxa"/>
            <w:gridSpan w:val="4"/>
            <w:tcBorders>
              <w:top w:val="nil"/>
              <w:left w:val="nil"/>
              <w:bottom w:val="nil"/>
              <w:right w:val="nil"/>
            </w:tcBorders>
            <w:shd w:val="clear" w:color="auto" w:fill="00CC00"/>
            <w:vAlign w:val="center"/>
          </w:tcPr>
          <w:p>
            <w:pPr>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Actmix</w:t>
            </w:r>
            <w:r>
              <w:rPr>
                <w:rFonts w:hint="eastAsia" w:ascii="Times New Roman" w:hAnsi="Times New Roman" w:cs="Times New Roman"/>
                <w:b/>
                <w:bCs/>
                <w:color w:val="FFFFFF"/>
                <w:sz w:val="24"/>
                <w:szCs w:val="24"/>
                <w:lang w:val="en-US" w:eastAsia="zh-CN"/>
              </w:rPr>
              <w:t xml:space="preserve"> </w:t>
            </w:r>
            <w:r>
              <w:rPr>
                <w:rFonts w:hint="default" w:ascii="Times New Roman" w:hAnsi="Times New Roman" w:cs="Times New Roman"/>
                <w:b/>
                <w:bCs/>
                <w:color w:val="FFFFFF"/>
                <w:sz w:val="24"/>
                <w:szCs w:val="24"/>
                <w:lang w:val="en-US" w:eastAsia="zh-CN"/>
              </w:rPr>
              <w:t xml:space="preserve"> </w:t>
            </w:r>
            <w:r>
              <w:rPr>
                <w:rFonts w:hint="eastAsia" w:ascii="Times New Roman" w:hAnsi="Times New Roman" w:cs="Times New Roman"/>
                <w:b/>
                <w:bCs/>
                <w:color w:val="FFFFFF"/>
                <w:sz w:val="24"/>
                <w:szCs w:val="24"/>
                <w:lang w:val="en-US" w:eastAsia="zh-CN"/>
              </w:rPr>
              <w:t>GR-50GE</w:t>
            </w:r>
            <w:r>
              <w:rPr>
                <w:rFonts w:hint="default" w:ascii="Times New Roman" w:hAnsi="Times New Roman" w:cs="Times New Roman"/>
                <w:b/>
                <w:bCs/>
                <w:color w:val="FFFFFF"/>
                <w:sz w:val="24"/>
                <w:szCs w:val="24"/>
              </w:rPr>
              <w:t xml:space="preserve">               </w:t>
            </w:r>
            <w:r>
              <w:rPr>
                <w:rFonts w:hint="eastAsia" w:ascii="Times New Roman" w:hAnsi="Times New Roman" w:cs="Times New Roman"/>
                <w:b/>
                <w:bCs/>
                <w:color w:val="FFFFFF"/>
                <w:sz w:val="24"/>
                <w:szCs w:val="24"/>
                <w:lang w:val="en-US" w:eastAsia="zh-CN"/>
              </w:rPr>
              <w:t xml:space="preserve">     </w:t>
            </w:r>
            <w:r>
              <w:rPr>
                <w:rFonts w:hint="default" w:ascii="Times New Roman" w:hAnsi="Times New Roman" w:cs="Times New Roman"/>
                <w:b/>
                <w:bCs/>
                <w:color w:val="FFFFFF"/>
                <w:sz w:val="24"/>
                <w:szCs w:val="24"/>
              </w:rPr>
              <w:t xml:space="preserve">      </w:t>
            </w:r>
            <w:r>
              <w:rPr>
                <w:rFonts w:hint="default" w:ascii="Times New Roman" w:hAnsi="Times New Roman" w:cs="Times New Roman"/>
                <w:b/>
                <w:bCs/>
                <w:color w:val="FFFFFF"/>
                <w:sz w:val="24"/>
                <w:szCs w:val="24"/>
                <w:lang w:val="en-US" w:eastAsia="zh-CN"/>
              </w:rPr>
              <w:t xml:space="preserve">   </w:t>
            </w:r>
            <w:r>
              <w:rPr>
                <w:rFonts w:hint="default" w:ascii="Times New Roman" w:hAnsi="Times New Roman" w:cs="Times New Roman"/>
                <w:b/>
                <w:bCs/>
                <w:color w:val="FFFFFF"/>
                <w:szCs w:val="21"/>
              </w:rPr>
              <w:t xml:space="preserve">产品技术说明书（TDS） </w:t>
            </w:r>
            <w:r>
              <w:rPr>
                <w:rFonts w:hint="default" w:ascii="Times New Roman" w:hAnsi="Times New Roman" w:cs="Times New Roman"/>
                <w:color w:val="FFFFFF"/>
                <w:szCs w:val="21"/>
              </w:rPr>
              <w:t>版本1.</w:t>
            </w:r>
            <w:r>
              <w:rPr>
                <w:rFonts w:hint="eastAsia" w:ascii="Times New Roman" w:hAnsi="Times New Roman" w:cs="Times New Roman"/>
                <w:color w:val="FFFFFF"/>
                <w:szCs w:val="21"/>
                <w:lang w:val="en-US" w:eastAsia="zh-CN"/>
              </w:rPr>
              <w:t>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ACT 63</w:t>
      </w:r>
      <w:bookmarkStart w:id="0" w:name="_GoBack"/>
      <w:bookmarkEnd w:id="0"/>
    </w:p>
    <w:sectPr>
      <w:headerReference r:id="rId3" w:type="default"/>
      <w:footerReference r:id="rId4" w:type="default"/>
      <w:pgSz w:w="11906" w:h="16838"/>
      <w:pgMar w:top="1440" w:right="1800" w:bottom="1440" w:left="1800" w:header="1134" w:footer="116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SimSun+FPEF">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w:t>
    </w:r>
    <w:r>
      <w:rPr>
        <w:rFonts w:hint="eastAsia" w:ascii="Arial" w:hAnsi="Arial" w:eastAsia="新宋体" w:cs="Arial"/>
        <w:b/>
        <w:color w:val="008000"/>
        <w:sz w:val="44"/>
        <w:szCs w:val="44"/>
        <w:lang w:eastAsia="zh-CN"/>
      </w:rPr>
      <w:t>艾克姆新材料股份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sz w:val="18"/>
        <w:szCs w:val="18"/>
      </w:rPr>
      <w:t>电话：</w:t>
    </w:r>
    <w:r>
      <w:rPr>
        <w:rFonts w:hint="eastAsia" w:ascii="Arial" w:hAnsi="Arial" w:cs="Arial"/>
        <w:color w:val="008000"/>
        <w:sz w:val="18"/>
        <w:szCs w:val="18"/>
      </w:rPr>
      <w:t>0</w:t>
    </w:r>
    <w:r>
      <w:rPr>
        <w:rFonts w:ascii="Arial" w:hAnsi="Arial" w:cs="Arial"/>
        <w:color w:val="008000"/>
        <w:sz w:val="18"/>
        <w:szCs w:val="18"/>
      </w:rPr>
      <w:t>574-</w:t>
    </w:r>
    <w:r>
      <w:rPr>
        <w:rFonts w:hint="eastAsia" w:ascii="Arial" w:hAnsi="Arial" w:cs="Arial"/>
        <w:color w:val="008000"/>
        <w:sz w:val="18"/>
        <w:szCs w:val="18"/>
      </w:rPr>
      <w:t xml:space="preserve">87468726  </w:t>
    </w:r>
    <w:r>
      <w:rPr>
        <w:rFonts w:hint="eastAsia" w:ascii="Arial" w:hAnsi="Arial" w:cs="Arial"/>
        <w:color w:val="008000"/>
        <w:kern w:val="0"/>
        <w:sz w:val="18"/>
        <w:szCs w:val="18"/>
      </w:rPr>
      <w:t>传真：</w:t>
    </w:r>
    <w:r>
      <w:rPr>
        <w:rFonts w:ascii="Arial" w:hAnsi="Arial" w:cs="Arial"/>
        <w:color w:val="008000"/>
        <w:sz w:val="18"/>
        <w:szCs w:val="18"/>
      </w:rPr>
      <w:t>0574-</w:t>
    </w:r>
    <w:r>
      <w:rPr>
        <w:rFonts w:hint="eastAsia" w:ascii="Arial" w:hAnsi="Arial" w:cs="Arial"/>
        <w:color w:val="008000"/>
        <w:sz w:val="18"/>
        <w:szCs w:val="18"/>
      </w:rPr>
      <w:t>88002102  Email：dychem@actmix.cn  网址：</w:t>
    </w:r>
    <w:r>
      <w:rPr>
        <w:rFonts w:ascii="Arial" w:hAnsi="Arial" w:cs="Arial"/>
        <w:color w:val="008000"/>
        <w:kern w:val="0"/>
        <w:sz w:val="18"/>
        <w:szCs w:val="18"/>
      </w:rPr>
      <w:t>www.actmix.</w:t>
    </w:r>
    <w:r>
      <w:rPr>
        <w:rFonts w:hint="eastAsia" w:ascii="Arial" w:hAnsi="Arial" w:cs="Arial"/>
        <w:color w:val="008000"/>
        <w:kern w:val="0"/>
        <w:sz w:val="18"/>
        <w:szCs w:val="18"/>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Arial" w:hAnsi="Arial" w:cs="Arial"/>
        <w:sz w:val="30"/>
        <w:szCs w:val="30"/>
        <w:lang w:val="en-US" w:eastAsia="zh-CN"/>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lang w:val="en-US" w:eastAsia="zh-CN"/>
      </w:rPr>
      <w:t xml:space="preserve"> </w:t>
    </w:r>
  </w:p>
  <w:p>
    <w:pPr>
      <w:pStyle w:val="4"/>
      <w:pBdr>
        <w:bottom w:val="none" w:color="auto" w:sz="0" w:space="1"/>
      </w:pBdr>
      <w:jc w:val="left"/>
      <w:rPr>
        <w:rFonts w:hint="eastAsia" w:ascii="Arial" w:hAnsi="Arial" w:cs="Arial"/>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DF"/>
    <w:rsid w:val="000E5938"/>
    <w:rsid w:val="0024558C"/>
    <w:rsid w:val="0025454F"/>
    <w:rsid w:val="00324E45"/>
    <w:rsid w:val="00681409"/>
    <w:rsid w:val="006D5AEB"/>
    <w:rsid w:val="0073614F"/>
    <w:rsid w:val="007E614D"/>
    <w:rsid w:val="008031FF"/>
    <w:rsid w:val="008A4F1E"/>
    <w:rsid w:val="00900B6B"/>
    <w:rsid w:val="00B418EF"/>
    <w:rsid w:val="00CA0726"/>
    <w:rsid w:val="00D05026"/>
    <w:rsid w:val="00E4764D"/>
    <w:rsid w:val="00E522A4"/>
    <w:rsid w:val="00F7452F"/>
    <w:rsid w:val="00FA206C"/>
    <w:rsid w:val="00FD797D"/>
    <w:rsid w:val="00FE6985"/>
    <w:rsid w:val="043E034A"/>
    <w:rsid w:val="0A623BA0"/>
    <w:rsid w:val="0C155D47"/>
    <w:rsid w:val="0D371CBF"/>
    <w:rsid w:val="1D210235"/>
    <w:rsid w:val="217832AF"/>
    <w:rsid w:val="2184267D"/>
    <w:rsid w:val="28072B90"/>
    <w:rsid w:val="3022694C"/>
    <w:rsid w:val="33625051"/>
    <w:rsid w:val="356631BB"/>
    <w:rsid w:val="35695FC9"/>
    <w:rsid w:val="39B22608"/>
    <w:rsid w:val="3A755A0A"/>
    <w:rsid w:val="43825436"/>
    <w:rsid w:val="4383152C"/>
    <w:rsid w:val="454658E0"/>
    <w:rsid w:val="4A381337"/>
    <w:rsid w:val="4C422A9E"/>
    <w:rsid w:val="4EC72333"/>
    <w:rsid w:val="55F02EDD"/>
    <w:rsid w:val="67051258"/>
    <w:rsid w:val="72BE220F"/>
    <w:rsid w:val="78771C2C"/>
    <w:rsid w:val="7BCD11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0"/>
    <w:rPr>
      <w:rFonts w:ascii="Calibri" w:hAnsi="Calibri"/>
      <w:kern w:val="2"/>
      <w:sz w:val="18"/>
      <w:szCs w:val="18"/>
    </w:rPr>
  </w:style>
  <w:style w:type="character" w:customStyle="1" w:styleId="11">
    <w:name w:val="页脚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140</Words>
  <Characters>798</Characters>
  <Lines>6</Lines>
  <Paragraphs>1</Paragraphs>
  <TotalTime>1</TotalTime>
  <ScaleCrop>false</ScaleCrop>
  <LinksUpToDate>false</LinksUpToDate>
  <CharactersWithSpaces>937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2015-02-04T02:06:00Z</dcterms:created>
  <dc:creator>dadi</dc:creator>
  <cp:lastModifiedBy>江心秋月白</cp:lastModifiedBy>
  <dcterms:modified xsi:type="dcterms:W3CDTF">2021-03-10T07:25:53Z</dcterms:modified>
  <dc:title> Technical Data Sheet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