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622" w:tblpY="514"/>
        <w:tblOverlap w:val="never"/>
        <w:tblW w:w="8903" w:type="dxa"/>
        <w:tblInd w:w="0" w:type="dxa"/>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227"/>
        <w:gridCol w:w="4975"/>
      </w:tblGrid>
      <w:tr>
        <w:tblPrEx>
          <w:tblBorders>
            <w:top w:val="single" w:color="000000" w:sz="12"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3928" w:type="dxa"/>
            <w:gridSpan w:val="2"/>
            <w:tcBorders>
              <w:top w:val="single" w:color="000000" w:sz="12" w:space="0"/>
              <w:bottom w:val="single" w:color="000000" w:sz="12" w:space="0"/>
              <w:right w:val="nil"/>
            </w:tcBorders>
            <w:vAlign w:val="center"/>
          </w:tcPr>
          <w:p>
            <w:pPr>
              <w:rPr>
                <w:rFonts w:hint="eastAsia" w:ascii="Arial" w:hAnsi="Arial" w:eastAsia="宋体" w:cs="Arial"/>
                <w:b/>
                <w:sz w:val="30"/>
                <w:szCs w:val="30"/>
                <w:lang w:val="en-US" w:eastAsia="zh-CN"/>
              </w:rPr>
            </w:pPr>
            <w:r>
              <w:rPr>
                <w:rFonts w:ascii="Arial" w:hAnsi="Arial" w:cs="Arial"/>
                <w:b/>
                <w:sz w:val="30"/>
                <w:szCs w:val="30"/>
              </w:rPr>
              <w:t>Actmix</w:t>
            </w:r>
            <w:r>
              <w:rPr>
                <w:rFonts w:hint="eastAsia" w:ascii="Arial" w:hAnsi="Arial" w:cs="Arial"/>
                <w:b/>
                <w:sz w:val="30"/>
                <w:szCs w:val="30"/>
                <w:lang w:val="en-US" w:eastAsia="zh-CN"/>
              </w:rPr>
              <w:t xml:space="preserve"> </w:t>
            </w:r>
            <w:r>
              <w:rPr>
                <w:rFonts w:hint="eastAsia" w:ascii="Arial" w:hAnsi="Arial" w:cs="Arial"/>
                <w:b/>
                <w:sz w:val="30"/>
                <w:szCs w:val="30"/>
                <w:vertAlign w:val="baseline"/>
                <w:lang w:val="en-US" w:eastAsia="zh-CN"/>
              </w:rPr>
              <w:t>Li</w:t>
            </w:r>
            <w:r>
              <w:rPr>
                <w:rFonts w:hint="eastAsia" w:ascii="Arial" w:hAnsi="Arial" w:cs="Arial"/>
                <w:b/>
                <w:sz w:val="30"/>
                <w:szCs w:val="30"/>
                <w:vertAlign w:val="subscript"/>
                <w:lang w:val="en-US" w:eastAsia="zh-CN"/>
              </w:rPr>
              <w:t>2</w:t>
            </w:r>
            <w:r>
              <w:rPr>
                <w:rFonts w:hint="eastAsia" w:ascii="Arial" w:hAnsi="Arial" w:cs="Arial"/>
                <w:b/>
                <w:sz w:val="30"/>
                <w:szCs w:val="30"/>
                <w:vertAlign w:val="baseline"/>
                <w:lang w:val="en-US" w:eastAsia="zh-CN"/>
              </w:rPr>
              <w:t>CO</w:t>
            </w:r>
            <w:r>
              <w:rPr>
                <w:rFonts w:hint="eastAsia" w:ascii="Arial" w:hAnsi="Arial" w:cs="Arial"/>
                <w:b/>
                <w:sz w:val="30"/>
                <w:szCs w:val="30"/>
                <w:vertAlign w:val="subscript"/>
                <w:lang w:val="en-US" w:eastAsia="zh-CN"/>
              </w:rPr>
              <w:t>3</w:t>
            </w:r>
            <w:r>
              <w:rPr>
                <w:rFonts w:hint="eastAsia" w:ascii="Arial" w:hAnsi="Arial" w:cs="Arial"/>
                <w:b/>
                <w:sz w:val="30"/>
                <w:szCs w:val="30"/>
                <w:vertAlign w:val="baseline"/>
                <w:lang w:val="en-US" w:eastAsia="zh-CN"/>
              </w:rPr>
              <w:t>-50G/HNBR</w:t>
            </w:r>
          </w:p>
        </w:tc>
        <w:tc>
          <w:tcPr>
            <w:tcW w:w="4975" w:type="dxa"/>
            <w:tcBorders>
              <w:top w:val="single" w:color="000000" w:sz="12" w:space="0"/>
              <w:left w:val="nil"/>
              <w:bottom w:val="single" w:color="000000" w:sz="12" w:space="0"/>
            </w:tcBorders>
            <w:vAlign w:val="center"/>
          </w:tcPr>
          <w:p>
            <w:pPr>
              <w:rPr>
                <w:rFonts w:hint="eastAsia" w:ascii="Times New Roman" w:hAnsi="Times New Roman" w:eastAsia="宋体"/>
                <w:sz w:val="30"/>
                <w:szCs w:val="30"/>
                <w:lang w:eastAsia="zh-CN"/>
              </w:rPr>
            </w:pPr>
            <w:r>
              <w:rPr>
                <w:rFonts w:hint="eastAsia" w:ascii="Times New Roman" w:hAnsi="Times New Roman"/>
                <w:sz w:val="30"/>
                <w:szCs w:val="30"/>
                <w:lang w:val="en-US" w:eastAsia="zh-CN"/>
              </w:rPr>
              <w:t xml:space="preserve">         </w:t>
            </w:r>
            <w:r>
              <w:rPr>
                <w:rFonts w:hint="eastAsia" w:ascii="Times New Roman" w:hAnsi="Times New Roman"/>
                <w:sz w:val="30"/>
                <w:szCs w:val="30"/>
              </w:rPr>
              <w:t>预分散</w:t>
            </w:r>
            <w:r>
              <w:rPr>
                <w:rFonts w:hint="eastAsia" w:ascii="Times New Roman" w:hAnsi="Times New Roman"/>
                <w:sz w:val="30"/>
                <w:szCs w:val="30"/>
                <w:lang w:eastAsia="zh-CN"/>
              </w:rPr>
              <w:t>氢化丁腈酸受体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1701" w:type="dxa"/>
            <w:tcBorders>
              <w:top w:val="single" w:color="000000" w:sz="12" w:space="0"/>
              <w:left w:val="nil"/>
              <w:bottom w:val="single" w:color="000000" w:sz="12" w:space="0"/>
              <w:right w:val="nil"/>
            </w:tcBorders>
            <w:vAlign w:val="center"/>
          </w:tcPr>
          <w:p>
            <w:pPr>
              <w:rPr>
                <w:rFonts w:ascii="Times New Roman" w:hAnsi="Times New Roman"/>
                <w:b/>
                <w:sz w:val="24"/>
                <w:szCs w:val="24"/>
              </w:rPr>
            </w:pPr>
            <w:r>
              <w:rPr>
                <w:rFonts w:hint="eastAsia" w:ascii="Times New Roman" w:hAnsi="Times New Roman"/>
                <w:b/>
                <w:sz w:val="24"/>
                <w:szCs w:val="24"/>
              </w:rPr>
              <w:t>功能</w:t>
            </w:r>
          </w:p>
        </w:tc>
        <w:tc>
          <w:tcPr>
            <w:tcW w:w="7202" w:type="dxa"/>
            <w:gridSpan w:val="2"/>
            <w:tcBorders>
              <w:top w:val="single" w:color="000000" w:sz="12" w:space="0"/>
              <w:left w:val="nil"/>
              <w:bottom w:val="single" w:color="000000" w:sz="12" w:space="0"/>
              <w:right w:val="nil"/>
            </w:tcBorders>
            <w:vAlign w:val="center"/>
          </w:tcPr>
          <w:p>
            <w:pPr>
              <w:spacing w:line="360" w:lineRule="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氢化丁腈酸受体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701" w:type="dxa"/>
            <w:vMerge w:val="restart"/>
            <w:tcBorders>
              <w:top w:val="single" w:color="000000" w:sz="12" w:space="0"/>
              <w:left w:val="nil"/>
              <w:bottom w:val="single" w:color="000000" w:sz="4" w:space="0"/>
              <w:right w:val="nil"/>
            </w:tcBorders>
          </w:tcPr>
          <w:p>
            <w:pPr>
              <w:rPr>
                <w:rFonts w:ascii="Times New Roman" w:hAnsi="Times New Roman"/>
                <w:b/>
                <w:sz w:val="24"/>
                <w:szCs w:val="24"/>
              </w:rPr>
            </w:pPr>
            <w:r>
              <w:rPr>
                <w:rFonts w:hint="eastAsia" w:ascii="Times New Roman" w:hAnsi="Times New Roman"/>
                <w:b/>
                <w:sz w:val="24"/>
                <w:szCs w:val="24"/>
              </w:rPr>
              <w:t>产品说明</w:t>
            </w:r>
          </w:p>
        </w:tc>
        <w:tc>
          <w:tcPr>
            <w:tcW w:w="2227" w:type="dxa"/>
            <w:tcBorders>
              <w:top w:val="single" w:color="000000" w:sz="12" w:space="0"/>
              <w:left w:val="nil"/>
              <w:bottom w:val="nil"/>
              <w:right w:val="nil"/>
            </w:tcBorders>
          </w:tcPr>
          <w:p>
            <w:pPr>
              <w:spacing w:line="360" w:lineRule="auto"/>
              <w:rPr>
                <w:rFonts w:ascii="Times New Roman" w:hAnsi="Times New Roman"/>
                <w:sz w:val="24"/>
                <w:szCs w:val="24"/>
              </w:rPr>
            </w:pPr>
            <w:r>
              <w:rPr>
                <w:rFonts w:hint="eastAsia" w:ascii="Times New Roman" w:hAnsi="Times New Roman"/>
                <w:sz w:val="24"/>
                <w:szCs w:val="24"/>
              </w:rPr>
              <w:t>组成：</w:t>
            </w:r>
          </w:p>
        </w:tc>
        <w:tc>
          <w:tcPr>
            <w:tcW w:w="4975" w:type="dxa"/>
            <w:tcBorders>
              <w:top w:val="single" w:color="000000" w:sz="12" w:space="0"/>
              <w:left w:val="nil"/>
              <w:bottom w:val="nil"/>
              <w:right w:val="nil"/>
            </w:tcBorders>
          </w:tcPr>
          <w:p>
            <w:pPr>
              <w:spacing w:line="360" w:lineRule="auto"/>
              <w:rPr>
                <w:rFonts w:ascii="Times New Roman" w:hAnsi="Times New Roman"/>
                <w:sz w:val="24"/>
                <w:szCs w:val="24"/>
              </w:rPr>
            </w:pPr>
            <w:r>
              <w:rPr>
                <w:rFonts w:hint="eastAsia" w:ascii="Arial" w:hAnsi="Arial" w:cs="Arial"/>
                <w:sz w:val="24"/>
                <w:szCs w:val="24"/>
                <w:lang w:val="en-US" w:eastAsia="zh-CN"/>
              </w:rPr>
              <w:t>50%</w:t>
            </w:r>
            <w:r>
              <w:rPr>
                <w:rFonts w:hint="eastAsia"/>
                <w:sz w:val="24"/>
                <w:szCs w:val="24"/>
                <w:lang w:val="en-US" w:eastAsia="zh-CN"/>
              </w:rPr>
              <w:t>碳酸锂</w:t>
            </w:r>
            <w:r>
              <w:rPr>
                <w:rFonts w:hint="eastAsia" w:ascii="Arial" w:hAnsi="Arial" w:cs="Arial"/>
                <w:sz w:val="24"/>
                <w:szCs w:val="24"/>
                <w:lang w:val="en-US" w:eastAsia="zh-CN"/>
              </w:rPr>
              <w:t>和50%预分散</w:t>
            </w:r>
            <w:r>
              <w:rPr>
                <w:rFonts w:hint="eastAsia"/>
                <w:sz w:val="24"/>
                <w:szCs w:val="24"/>
                <w:lang w:val="en-US" w:eastAsia="zh-CN"/>
              </w:rPr>
              <w:t>橡胶载体</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227" w:type="dxa"/>
            <w:tcBorders>
              <w:top w:val="nil"/>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外观：</w:t>
            </w:r>
          </w:p>
        </w:tc>
        <w:tc>
          <w:tcPr>
            <w:tcW w:w="4975" w:type="dxa"/>
            <w:tcBorders>
              <w:top w:val="nil"/>
              <w:left w:val="nil"/>
              <w:bottom w:val="nil"/>
              <w:right w:val="nil"/>
            </w:tcBorders>
            <w:vAlign w:val="center"/>
          </w:tcPr>
          <w:p>
            <w:pPr>
              <w:spacing w:line="360" w:lineRule="auto"/>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米黄色或灰白色颗粒</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701" w:type="dxa"/>
            <w:vMerge w:val="continue"/>
            <w:tcBorders>
              <w:top w:val="single" w:color="000000" w:sz="4" w:space="0"/>
              <w:left w:val="nil"/>
              <w:bottom w:val="single" w:color="000000" w:sz="4" w:space="0"/>
              <w:right w:val="nil"/>
            </w:tcBorders>
            <w:vAlign w:val="center"/>
          </w:tcPr>
          <w:p>
            <w:pPr>
              <w:spacing w:beforeLines="100" w:afterLines="50"/>
              <w:rPr>
                <w:rFonts w:ascii="Times New Roman" w:hAnsi="Times New Roman"/>
                <w:b/>
                <w:sz w:val="24"/>
                <w:szCs w:val="24"/>
              </w:rPr>
            </w:pPr>
          </w:p>
        </w:tc>
        <w:tc>
          <w:tcPr>
            <w:tcW w:w="2227" w:type="dxa"/>
            <w:tcBorders>
              <w:top w:val="nil"/>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 xml:space="preserve">密度（20 </w:t>
            </w:r>
            <w:r>
              <w:rPr>
                <w:rFonts w:ascii="Times New Roman" w:hAnsi="Times New Roman"/>
                <w:sz w:val="24"/>
                <w:szCs w:val="24"/>
              </w:rPr>
              <w:t>°C</w:t>
            </w:r>
            <w:r>
              <w:rPr>
                <w:rFonts w:hint="eastAsia" w:ascii="Times New Roman" w:hAnsi="Times New Roman"/>
                <w:sz w:val="24"/>
                <w:szCs w:val="24"/>
              </w:rPr>
              <w:t>）：</w:t>
            </w:r>
          </w:p>
        </w:tc>
        <w:tc>
          <w:tcPr>
            <w:tcW w:w="4975" w:type="dxa"/>
            <w:tcBorders>
              <w:top w:val="nil"/>
              <w:left w:val="nil"/>
              <w:bottom w:val="nil"/>
              <w:right w:val="nil"/>
            </w:tcBorders>
            <w:vAlign w:val="center"/>
          </w:tcPr>
          <w:p>
            <w:pPr>
              <w:spacing w:line="360" w:lineRule="auto"/>
              <w:rPr>
                <w:rFonts w:ascii="Arial" w:hAnsi="Arial" w:cs="Arial"/>
                <w:sz w:val="24"/>
                <w:szCs w:val="24"/>
                <w:vertAlign w:val="superscript"/>
              </w:rPr>
            </w:pPr>
            <w:r>
              <w:rPr>
                <w:rFonts w:hint="eastAsia" w:ascii="Arial" w:hAnsi="Arial" w:cs="Arial"/>
                <w:sz w:val="24"/>
                <w:szCs w:val="24"/>
                <w:lang w:val="en-US" w:eastAsia="zh-CN"/>
              </w:rPr>
              <w:t>约1.25</w:t>
            </w:r>
            <w:r>
              <w:rPr>
                <w:rFonts w:ascii="Arial" w:hAnsi="Arial" w:cs="Arial"/>
                <w:sz w:val="24"/>
                <w:szCs w:val="24"/>
              </w:rPr>
              <w:t>g/cm</w:t>
            </w:r>
            <w:r>
              <w:rPr>
                <w:rFonts w:ascii="Arial" w:hAnsi="Arial" w:cs="Arial"/>
                <w:sz w:val="24"/>
                <w:szCs w:val="24"/>
                <w:vertAlign w:val="superscript"/>
              </w:rPr>
              <w:t>3</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701" w:type="dxa"/>
            <w:vMerge w:val="continue"/>
            <w:tcBorders>
              <w:top w:val="single" w:color="000000" w:sz="4" w:space="0"/>
              <w:left w:val="nil"/>
              <w:bottom w:val="single" w:color="000000" w:sz="12" w:space="0"/>
              <w:right w:val="nil"/>
            </w:tcBorders>
            <w:vAlign w:val="center"/>
          </w:tcPr>
          <w:p>
            <w:pPr>
              <w:spacing w:beforeLines="100" w:afterLines="50"/>
              <w:rPr>
                <w:rFonts w:ascii="Times New Roman" w:hAnsi="Times New Roman"/>
                <w:b/>
                <w:sz w:val="24"/>
                <w:szCs w:val="24"/>
              </w:rPr>
            </w:pPr>
          </w:p>
        </w:tc>
        <w:tc>
          <w:tcPr>
            <w:tcW w:w="2227" w:type="dxa"/>
            <w:tcBorders>
              <w:top w:val="nil"/>
              <w:left w:val="nil"/>
              <w:bottom w:val="single" w:color="000000" w:sz="12" w:space="0"/>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安全特性：</w:t>
            </w:r>
          </w:p>
        </w:tc>
        <w:tc>
          <w:tcPr>
            <w:tcW w:w="4975" w:type="dxa"/>
            <w:tcBorders>
              <w:top w:val="nil"/>
              <w:left w:val="nil"/>
              <w:bottom w:val="single" w:color="000000" w:sz="12" w:space="0"/>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参照安全数据表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701" w:type="dxa"/>
            <w:tcBorders>
              <w:top w:val="single" w:color="000000" w:sz="12" w:space="0"/>
              <w:left w:val="nil"/>
              <w:bottom w:val="single" w:color="000000" w:sz="12" w:space="0"/>
              <w:right w:val="nil"/>
            </w:tcBorders>
            <w:vAlign w:val="center"/>
          </w:tcPr>
          <w:p>
            <w:pPr>
              <w:rPr>
                <w:rFonts w:hint="eastAsia" w:ascii="Times New Roman" w:hAnsi="Times New Roman" w:eastAsia="宋体"/>
                <w:b/>
                <w:sz w:val="24"/>
                <w:szCs w:val="24"/>
                <w:lang w:val="en-US" w:eastAsia="zh-CN"/>
              </w:rPr>
            </w:pPr>
            <w:r>
              <w:rPr>
                <w:rFonts w:hint="eastAsia" w:ascii="Times New Roman" w:hAnsi="Times New Roman"/>
                <w:b/>
                <w:sz w:val="24"/>
                <w:szCs w:val="24"/>
                <w:lang w:val="en-US" w:eastAsia="zh-CN"/>
              </w:rPr>
              <w:t>应用资料</w:t>
            </w:r>
          </w:p>
        </w:tc>
        <w:tc>
          <w:tcPr>
            <w:tcW w:w="7202" w:type="dxa"/>
            <w:gridSpan w:val="2"/>
            <w:tcBorders>
              <w:top w:val="single" w:color="000000" w:sz="12" w:space="0"/>
              <w:left w:val="nil"/>
              <w:bottom w:val="single" w:color="000000" w:sz="12" w:space="0"/>
              <w:right w:val="nil"/>
            </w:tcBorders>
            <w:vAlign w:val="center"/>
          </w:tcPr>
          <w:p>
            <w:pPr>
              <w:spacing w:line="360" w:lineRule="auto"/>
              <w:rPr>
                <w:rFonts w:ascii="Times New Roman" w:hAnsi="Times New Roman"/>
                <w:sz w:val="24"/>
                <w:szCs w:val="24"/>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8" w:hRule="atLeast"/>
        </w:trPr>
        <w:tc>
          <w:tcPr>
            <w:tcW w:w="1701" w:type="dxa"/>
            <w:tcBorders>
              <w:top w:val="single" w:color="000000" w:sz="12" w:space="0"/>
              <w:left w:val="nil"/>
              <w:bottom w:val="nil"/>
              <w:right w:val="nil"/>
            </w:tcBorders>
          </w:tcPr>
          <w:p>
            <w:pPr>
              <w:rPr>
                <w:rFonts w:hint="eastAsia" w:ascii="Times New Roman" w:hAnsi="Times New Roman"/>
                <w:sz w:val="24"/>
                <w:szCs w:val="24"/>
                <w:lang w:val="en-US" w:eastAsia="zh-CN"/>
              </w:rPr>
            </w:pPr>
            <w:r>
              <w:rPr>
                <w:rFonts w:hint="eastAsia" w:ascii="Times New Roman" w:hAnsi="Times New Roman"/>
                <w:sz w:val="24"/>
                <w:szCs w:val="24"/>
                <w:lang w:val="en-US" w:eastAsia="zh-CN"/>
              </w:rPr>
              <w:t>用途：</w:t>
            </w:r>
          </w:p>
        </w:tc>
        <w:tc>
          <w:tcPr>
            <w:tcW w:w="7202" w:type="dxa"/>
            <w:gridSpan w:val="2"/>
            <w:tcBorders>
              <w:top w:val="single" w:color="000000" w:sz="12" w:space="0"/>
              <w:left w:val="nil"/>
              <w:bottom w:val="nil"/>
              <w:right w:val="nil"/>
            </w:tcBorders>
            <w:vAlign w:val="center"/>
          </w:tcPr>
          <w:p>
            <w:pPr>
              <w:spacing w:before="78" w:beforeLines="25" w:line="360" w:lineRule="auto"/>
              <w:rPr>
                <w:rFonts w:hint="default" w:ascii="Times New Roman" w:hAnsi="Times New Roman"/>
                <w:sz w:val="24"/>
                <w:szCs w:val="24"/>
                <w:lang w:val="en-US" w:eastAsia="zh-CN"/>
              </w:rPr>
            </w:pP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Li</w:t>
            </w:r>
            <w:r>
              <w:rPr>
                <w:rFonts w:hint="eastAsia" w:ascii="Times New Roman" w:hAnsi="Times New Roman"/>
                <w:sz w:val="24"/>
                <w:szCs w:val="24"/>
                <w:vertAlign w:val="subscript"/>
                <w:lang w:val="en-US" w:eastAsia="zh-CN"/>
              </w:rPr>
              <w:t>2</w:t>
            </w:r>
            <w:r>
              <w:rPr>
                <w:rFonts w:hint="eastAsia" w:ascii="Times New Roman" w:hAnsi="Times New Roman"/>
                <w:sz w:val="24"/>
                <w:szCs w:val="24"/>
                <w:vertAlign w:val="baseline"/>
                <w:lang w:val="en-US" w:eastAsia="zh-CN"/>
              </w:rPr>
              <w:t>C</w:t>
            </w:r>
            <w:r>
              <w:rPr>
                <w:rFonts w:hint="eastAsia" w:ascii="Times New Roman" w:hAnsi="Times New Roman"/>
                <w:sz w:val="24"/>
                <w:szCs w:val="24"/>
                <w:lang w:val="en-US" w:eastAsia="zh-CN"/>
              </w:rPr>
              <w:t>O</w:t>
            </w:r>
            <w:r>
              <w:rPr>
                <w:rFonts w:hint="eastAsia" w:ascii="Times New Roman" w:hAnsi="Times New Roman"/>
                <w:sz w:val="24"/>
                <w:szCs w:val="24"/>
                <w:vertAlign w:val="subscript"/>
                <w:lang w:val="en-US" w:eastAsia="zh-CN"/>
              </w:rPr>
              <w:t>3</w:t>
            </w:r>
            <w:r>
              <w:rPr>
                <w:rFonts w:hint="eastAsia" w:ascii="Times New Roman" w:hAnsi="Times New Roman"/>
                <w:sz w:val="24"/>
                <w:szCs w:val="24"/>
                <w:lang w:val="en-US" w:eastAsia="zh-CN"/>
              </w:rPr>
              <w:t>-50G/HNBR是HNBR的酸受体</w:t>
            </w:r>
            <w:bookmarkStart w:id="0" w:name="OLE_LINK26"/>
            <w:bookmarkStart w:id="1" w:name="OLE_LINK27"/>
            <w:r>
              <w:rPr>
                <w:rFonts w:hint="eastAsia" w:ascii="Times New Roman" w:hAnsi="Times New Roman"/>
                <w:sz w:val="24"/>
                <w:szCs w:val="24"/>
                <w:lang w:val="en-US" w:eastAsia="zh-CN"/>
              </w:rPr>
              <w:t>，</w:t>
            </w:r>
            <w:bookmarkEnd w:id="0"/>
            <w:bookmarkEnd w:id="1"/>
            <w:r>
              <w:rPr>
                <w:rFonts w:hint="eastAsia" w:ascii="Times New Roman" w:hAnsi="Times New Roman"/>
                <w:sz w:val="24"/>
                <w:szCs w:val="24"/>
                <w:lang w:val="en-US" w:eastAsia="zh-CN"/>
              </w:rPr>
              <w:t>在HNBR交联过程中，Li2CO3与抗氧剂并用能显著地改善氢化丁腈硫化胶的热空气老化情况。同时，与使用Na</w:t>
            </w:r>
            <w:r>
              <w:rPr>
                <w:rFonts w:hint="eastAsia" w:ascii="Times New Roman" w:hAnsi="Times New Roman"/>
                <w:sz w:val="24"/>
                <w:szCs w:val="24"/>
                <w:vertAlign w:val="subscript"/>
                <w:lang w:val="en-US" w:eastAsia="zh-CN"/>
              </w:rPr>
              <w:t>2</w:t>
            </w:r>
            <w:r>
              <w:rPr>
                <w:rFonts w:hint="eastAsia" w:ascii="Times New Roman" w:hAnsi="Times New Roman"/>
                <w:sz w:val="24"/>
                <w:szCs w:val="24"/>
                <w:lang w:val="en-US" w:eastAsia="zh-CN"/>
              </w:rPr>
              <w:t>CO</w:t>
            </w:r>
            <w:r>
              <w:rPr>
                <w:rFonts w:hint="eastAsia" w:ascii="Times New Roman" w:hAnsi="Times New Roman"/>
                <w:sz w:val="24"/>
                <w:szCs w:val="24"/>
                <w:vertAlign w:val="subscript"/>
                <w:lang w:val="en-US" w:eastAsia="zh-CN"/>
              </w:rPr>
              <w:t>3</w:t>
            </w:r>
            <w:r>
              <w:rPr>
                <w:rFonts w:hint="eastAsia" w:ascii="Times New Roman" w:hAnsi="Times New Roman"/>
                <w:sz w:val="24"/>
                <w:szCs w:val="24"/>
                <w:lang w:val="en-US" w:eastAsia="zh-CN"/>
              </w:rPr>
              <w:t>的硫化胶相比，其硫化胶对于水介质的耐溶胀性大幅度地减小，使其在对水溶胀性能要求至关重要的领域流体回路中的得到应用。</w:t>
            </w:r>
            <w:bookmarkStart w:id="4" w:name="_GoBack"/>
            <w:bookmarkEnd w:id="4"/>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trPr>
        <w:tc>
          <w:tcPr>
            <w:tcW w:w="1701" w:type="dxa"/>
            <w:tcBorders>
              <w:top w:val="nil"/>
              <w:left w:val="nil"/>
              <w:bottom w:val="nil"/>
              <w:right w:val="nil"/>
            </w:tcBorders>
            <w:vAlign w:val="center"/>
          </w:tcPr>
          <w:p>
            <w:pPr>
              <w:jc w:val="both"/>
              <w:rPr>
                <w:rFonts w:ascii="Times New Roman" w:hAnsi="Times New Roman"/>
                <w:sz w:val="24"/>
                <w:szCs w:val="24"/>
              </w:rPr>
            </w:pPr>
            <w:r>
              <w:rPr>
                <w:rFonts w:hint="eastAsia" w:ascii="Times New Roman" w:hAnsi="Times New Roman"/>
                <w:sz w:val="24"/>
                <w:szCs w:val="24"/>
              </w:rPr>
              <w:t>用量：</w:t>
            </w:r>
          </w:p>
        </w:tc>
        <w:tc>
          <w:tcPr>
            <w:tcW w:w="7202" w:type="dxa"/>
            <w:gridSpan w:val="2"/>
            <w:tcBorders>
              <w:top w:val="nil"/>
              <w:left w:val="nil"/>
              <w:bottom w:val="nil"/>
              <w:right w:val="nil"/>
            </w:tcBorders>
            <w:vAlign w:val="center"/>
          </w:tcPr>
          <w:p>
            <w:pPr>
              <w:spacing w:line="360" w:lineRule="auto"/>
              <w:rPr>
                <w:rFonts w:hint="eastAsia" w:ascii="Times New Roman" w:hAnsi="Times New Roman"/>
                <w:sz w:val="24"/>
                <w:szCs w:val="24"/>
                <w:lang w:val="en-US" w:eastAsia="zh-CN"/>
              </w:rPr>
            </w:pPr>
            <w:r>
              <w:rPr>
                <w:rFonts w:hint="eastAsia" w:ascii="Times New Roman" w:hAnsi="Times New Roman"/>
                <w:sz w:val="24"/>
                <w:szCs w:val="24"/>
                <w:lang w:val="en-US" w:eastAsia="zh-CN"/>
              </w:rPr>
              <w:t>通常情况下3-6phr</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1701" w:type="dxa"/>
            <w:tcBorders>
              <w:top w:val="single" w:color="000000" w:sz="12" w:space="0"/>
              <w:left w:val="nil"/>
              <w:bottom w:val="nil"/>
              <w:right w:val="nil"/>
            </w:tcBorders>
            <w:vAlign w:val="center"/>
          </w:tcPr>
          <w:p>
            <w:pPr>
              <w:rPr>
                <w:rFonts w:hint="eastAsia" w:ascii="Times New Roman" w:hAnsi="Times New Roman" w:eastAsia="宋体"/>
                <w:sz w:val="24"/>
                <w:szCs w:val="24"/>
                <w:lang w:val="en-US" w:eastAsia="zh-CN"/>
              </w:rPr>
            </w:pPr>
            <w:r>
              <w:rPr>
                <w:rFonts w:hint="eastAsia" w:ascii="Times New Roman" w:hAnsi="Times New Roman"/>
                <w:sz w:val="24"/>
                <w:szCs w:val="24"/>
                <w:lang w:val="en-US" w:eastAsia="zh-CN"/>
              </w:rPr>
              <w:t>应用</w:t>
            </w:r>
          </w:p>
        </w:tc>
        <w:tc>
          <w:tcPr>
            <w:tcW w:w="7202" w:type="dxa"/>
            <w:gridSpan w:val="2"/>
            <w:tcBorders>
              <w:top w:val="single" w:color="000000" w:sz="12" w:space="0"/>
              <w:left w:val="nil"/>
              <w:bottom w:val="nil"/>
              <w:right w:val="nil"/>
            </w:tcBorders>
            <w:vAlign w:val="center"/>
          </w:tcPr>
          <w:p>
            <w:pPr>
              <w:spacing w:beforeLines="0" w:afterLines="0" w:line="360" w:lineRule="auto"/>
              <w:jc w:val="left"/>
              <w:rPr>
                <w:rFonts w:hint="eastAsia" w:ascii="Times New Roman" w:hAnsi="Times New Roman"/>
                <w:sz w:val="24"/>
                <w:szCs w:val="24"/>
              </w:rPr>
            </w:pPr>
            <w:bookmarkStart w:id="2" w:name="OLE_LINK3"/>
            <w:bookmarkStart w:id="3" w:name="OLE_LINK4"/>
            <w:r>
              <w:rPr>
                <w:rFonts w:hint="eastAsia" w:ascii="Times New Roman" w:hAnsi="Times New Roman" w:cs="Times New Roman"/>
                <w:sz w:val="24"/>
                <w:szCs w:val="24"/>
                <w:lang w:eastAsia="zh-CN"/>
              </w:rPr>
              <w:t>HNBR的橡胶制品</w:t>
            </w:r>
            <w:bookmarkEnd w:id="2"/>
            <w:bookmarkEnd w:id="3"/>
            <w:r>
              <w:rPr>
                <w:rFonts w:hint="eastAsia" w:ascii="Times New Roman" w:hAnsi="Times New Roman" w:cs="Times New Roman"/>
                <w:sz w:val="24"/>
                <w:szCs w:val="24"/>
                <w:lang w:eastAsia="zh-CN"/>
              </w:rPr>
              <w:t>，例如：汽车冷却剂回路、汽车流体回路</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701" w:type="dxa"/>
            <w:tcBorders>
              <w:top w:val="single" w:color="000000" w:sz="12" w:space="0"/>
              <w:left w:val="nil"/>
              <w:bottom w:val="nil"/>
              <w:right w:val="nil"/>
            </w:tcBorders>
            <w:vAlign w:val="center"/>
          </w:tcPr>
          <w:p>
            <w:pPr>
              <w:rPr>
                <w:rFonts w:ascii="Times New Roman" w:hAnsi="Times New Roman"/>
                <w:sz w:val="24"/>
                <w:szCs w:val="24"/>
              </w:rPr>
            </w:pPr>
            <w:r>
              <w:rPr>
                <w:rFonts w:hint="eastAsia" w:ascii="Times New Roman" w:hAnsi="Times New Roman"/>
                <w:sz w:val="24"/>
                <w:szCs w:val="24"/>
              </w:rPr>
              <w:t>包装：</w:t>
            </w:r>
          </w:p>
        </w:tc>
        <w:tc>
          <w:tcPr>
            <w:tcW w:w="7202" w:type="dxa"/>
            <w:gridSpan w:val="2"/>
            <w:tcBorders>
              <w:top w:val="single" w:color="000000" w:sz="12" w:space="0"/>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内衬PE袋的纸箱</w:t>
            </w:r>
            <w:r>
              <w:rPr>
                <w:rFonts w:hint="eastAsia" w:ascii="Times New Roman" w:hAnsi="Times New Roman"/>
                <w:sz w:val="24"/>
                <w:szCs w:val="24"/>
                <w:lang w:eastAsia="zh-CN"/>
              </w:rPr>
              <w:t>，</w:t>
            </w:r>
            <w:r>
              <w:rPr>
                <w:rFonts w:hint="eastAsia" w:ascii="Times New Roman" w:hAnsi="Times New Roman"/>
                <w:sz w:val="24"/>
                <w:szCs w:val="24"/>
              </w:rPr>
              <w:t>每箱净重2</w:t>
            </w:r>
            <w:r>
              <w:rPr>
                <w:rFonts w:hint="eastAsia" w:ascii="Times New Roman" w:hAnsi="Times New Roman"/>
                <w:sz w:val="24"/>
                <w:szCs w:val="24"/>
                <w:lang w:val="en-US" w:eastAsia="zh-CN"/>
              </w:rPr>
              <w:t>5</w:t>
            </w:r>
            <w:r>
              <w:rPr>
                <w:rFonts w:hint="eastAsia" w:ascii="Times New Roman" w:hAnsi="Times New Roman"/>
                <w:sz w:val="24"/>
                <w:szCs w:val="24"/>
              </w:rPr>
              <w:t>KG</w:t>
            </w:r>
            <w:r>
              <w:rPr>
                <w:rFonts w:hint="eastAsia" w:ascii="Times New Roman" w:hAnsi="Times New Roman"/>
                <w:sz w:val="24"/>
                <w:szCs w:val="24"/>
                <w:lang w:eastAsia="zh-CN"/>
              </w:rPr>
              <w:t>，</w:t>
            </w:r>
            <w:r>
              <w:rPr>
                <w:rFonts w:hint="eastAsia" w:ascii="Times New Roman" w:hAnsi="Times New Roman"/>
                <w:sz w:val="24"/>
                <w:szCs w:val="24"/>
                <w:lang w:val="en-US" w:eastAsia="zh-CN"/>
              </w:rPr>
              <w:t>600</w:t>
            </w:r>
            <w:r>
              <w:rPr>
                <w:rFonts w:hint="eastAsia" w:ascii="宋体" w:hAnsi="宋体"/>
                <w:sz w:val="24"/>
                <w:szCs w:val="24"/>
              </w:rPr>
              <w:t>公斤/托盘。</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701" w:type="dxa"/>
            <w:tcBorders>
              <w:top w:val="nil"/>
              <w:left w:val="nil"/>
              <w:bottom w:val="nil"/>
              <w:right w:val="nil"/>
            </w:tcBorders>
          </w:tcPr>
          <w:p>
            <w:pPr>
              <w:rPr>
                <w:rFonts w:ascii="Times New Roman" w:hAnsi="Times New Roman"/>
                <w:sz w:val="24"/>
                <w:szCs w:val="24"/>
              </w:rPr>
            </w:pPr>
            <w:r>
              <w:rPr>
                <w:rFonts w:hint="eastAsia" w:ascii="Times New Roman" w:hAnsi="Times New Roman"/>
                <w:sz w:val="24"/>
                <w:szCs w:val="24"/>
              </w:rPr>
              <w:t>储存稳定性：</w:t>
            </w:r>
          </w:p>
        </w:tc>
        <w:tc>
          <w:tcPr>
            <w:tcW w:w="7202" w:type="dxa"/>
            <w:gridSpan w:val="2"/>
            <w:tcBorders>
              <w:top w:val="nil"/>
              <w:left w:val="nil"/>
              <w:bottom w:val="nil"/>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密封储存在阴凉、干燥、通风良好的地方，建议产品保存期限为</w:t>
            </w:r>
            <w:r>
              <w:rPr>
                <w:rFonts w:hint="eastAsia" w:ascii="Times New Roman" w:hAnsi="Times New Roman"/>
                <w:sz w:val="24"/>
                <w:szCs w:val="24"/>
                <w:lang w:val="en-US" w:eastAsia="zh-CN"/>
              </w:rPr>
              <w:t>两</w:t>
            </w:r>
            <w:r>
              <w:rPr>
                <w:rFonts w:hint="eastAsia" w:ascii="Times New Roman" w:hAnsi="Times New Roman"/>
                <w:sz w:val="24"/>
                <w:szCs w:val="24"/>
              </w:rPr>
              <w:t>年。</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trPr>
        <w:tc>
          <w:tcPr>
            <w:tcW w:w="1701" w:type="dxa"/>
            <w:tcBorders>
              <w:top w:val="nil"/>
              <w:left w:val="nil"/>
              <w:bottom w:val="single" w:color="000000" w:sz="12" w:space="0"/>
              <w:right w:val="nil"/>
            </w:tcBorders>
            <w:vAlign w:val="center"/>
          </w:tcPr>
          <w:p>
            <w:pPr>
              <w:rPr>
                <w:rFonts w:ascii="Times New Roman" w:hAnsi="Times New Roman"/>
                <w:sz w:val="24"/>
                <w:szCs w:val="24"/>
              </w:rPr>
            </w:pPr>
            <w:r>
              <w:rPr>
                <w:rFonts w:hint="eastAsia" w:ascii="Times New Roman" w:hAnsi="Times New Roman"/>
                <w:sz w:val="24"/>
                <w:szCs w:val="24"/>
              </w:rPr>
              <w:t>处置：</w:t>
            </w:r>
          </w:p>
        </w:tc>
        <w:tc>
          <w:tcPr>
            <w:tcW w:w="7202" w:type="dxa"/>
            <w:gridSpan w:val="2"/>
            <w:tcBorders>
              <w:top w:val="nil"/>
              <w:left w:val="nil"/>
              <w:bottom w:val="single" w:color="000000" w:sz="12" w:space="0"/>
              <w:right w:val="nil"/>
            </w:tcBorders>
            <w:vAlign w:val="center"/>
          </w:tcPr>
          <w:p>
            <w:pPr>
              <w:spacing w:line="360" w:lineRule="auto"/>
              <w:rPr>
                <w:rFonts w:ascii="Times New Roman" w:hAnsi="Times New Roman"/>
                <w:sz w:val="24"/>
                <w:szCs w:val="24"/>
              </w:rPr>
            </w:pPr>
            <w:r>
              <w:rPr>
                <w:rFonts w:hint="eastAsia" w:ascii="Times New Roman" w:hAnsi="Times New Roman"/>
                <w:sz w:val="24"/>
                <w:szCs w:val="24"/>
              </w:rPr>
              <w:t>在橡胶加工过程中化学添加剂的工作区域建议抽风排气，更进一步的处置资料请参考</w:t>
            </w:r>
            <w:r>
              <w:rPr>
                <w:rFonts w:hint="default" w:ascii="Times New Roman" w:hAnsi="Times New Roman"/>
                <w:sz w:val="24"/>
                <w:szCs w:val="24"/>
                <w:lang w:val="en-US" w:eastAsia="zh-CN"/>
              </w:rPr>
              <w:t>Actmix</w:t>
            </w:r>
            <w:r>
              <w:rPr>
                <w:rFonts w:hint="eastAsia" w:ascii="Times New Roman" w:hAnsi="Times New Roman"/>
                <w:sz w:val="24"/>
                <w:szCs w:val="24"/>
                <w:lang w:val="en-US" w:eastAsia="zh-CN"/>
              </w:rPr>
              <w:t xml:space="preserve"> Li</w:t>
            </w:r>
            <w:r>
              <w:rPr>
                <w:rFonts w:hint="eastAsia" w:ascii="Times New Roman" w:hAnsi="Times New Roman"/>
                <w:sz w:val="24"/>
                <w:szCs w:val="24"/>
                <w:vertAlign w:val="subscript"/>
                <w:lang w:val="en-US" w:eastAsia="zh-CN"/>
              </w:rPr>
              <w:t>2</w:t>
            </w:r>
            <w:r>
              <w:rPr>
                <w:rFonts w:hint="eastAsia" w:ascii="Times New Roman" w:hAnsi="Times New Roman"/>
                <w:sz w:val="24"/>
                <w:szCs w:val="24"/>
                <w:vertAlign w:val="baseline"/>
                <w:lang w:val="en-US" w:eastAsia="zh-CN"/>
              </w:rPr>
              <w:t>C</w:t>
            </w:r>
            <w:r>
              <w:rPr>
                <w:rFonts w:hint="eastAsia" w:ascii="Times New Roman" w:hAnsi="Times New Roman"/>
                <w:sz w:val="24"/>
                <w:szCs w:val="24"/>
                <w:lang w:val="en-US" w:eastAsia="zh-CN"/>
              </w:rPr>
              <w:t>O</w:t>
            </w:r>
            <w:r>
              <w:rPr>
                <w:rFonts w:hint="eastAsia" w:ascii="Times New Roman" w:hAnsi="Times New Roman"/>
                <w:sz w:val="24"/>
                <w:szCs w:val="24"/>
                <w:vertAlign w:val="subscript"/>
                <w:lang w:val="en-US" w:eastAsia="zh-CN"/>
              </w:rPr>
              <w:t>3</w:t>
            </w:r>
            <w:r>
              <w:rPr>
                <w:rFonts w:hint="eastAsia" w:ascii="Times New Roman" w:hAnsi="Times New Roman"/>
                <w:sz w:val="24"/>
                <w:szCs w:val="24"/>
                <w:lang w:val="en-US" w:eastAsia="zh-CN"/>
              </w:rPr>
              <w:t>-50G/HNBR</w:t>
            </w:r>
            <w:r>
              <w:rPr>
                <w:rFonts w:hint="eastAsia" w:ascii="Times New Roman" w:hAnsi="Times New Roman"/>
                <w:sz w:val="24"/>
                <w:szCs w:val="24"/>
              </w:rPr>
              <w:t>的安全数据表。</w:t>
            </w: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trPr>
        <w:tc>
          <w:tcPr>
            <w:tcW w:w="8903" w:type="dxa"/>
            <w:gridSpan w:val="3"/>
            <w:tcBorders>
              <w:top w:val="single" w:color="000000" w:sz="12" w:space="0"/>
              <w:left w:val="nil"/>
              <w:bottom w:val="nil"/>
              <w:right w:val="nil"/>
            </w:tcBorders>
            <w:vAlign w:val="center"/>
          </w:tcPr>
          <w:p>
            <w:pPr>
              <w:spacing w:line="252" w:lineRule="auto"/>
              <w:rPr>
                <w:rFonts w:hAnsi="宋体"/>
                <w:sz w:val="18"/>
                <w:szCs w:val="18"/>
              </w:rPr>
            </w:pPr>
            <w:r>
              <w:rPr>
                <w:rFonts w:hint="eastAsia" w:hAnsi="宋体"/>
                <w:sz w:val="18"/>
                <w:szCs w:val="18"/>
                <w:lang w:eastAsia="zh-CN"/>
              </w:rPr>
              <w:tab/>
            </w:r>
          </w:p>
          <w:p>
            <w:pPr>
              <w:spacing w:line="252" w:lineRule="auto"/>
              <w:rPr>
                <w:rFonts w:hAnsi="宋体"/>
                <w:sz w:val="18"/>
                <w:szCs w:val="18"/>
              </w:rPr>
            </w:pPr>
            <w:r>
              <w:rPr>
                <w:rFonts w:hAnsi="宋体"/>
                <w:sz w:val="18"/>
                <w:szCs w:val="18"/>
              </w:rPr>
              <w:t>本产品信息出自我司实验室和所参考的文献资料，因此并不能形成法律效力、或并不能意味着保证或承诺客户在根据自己的配方应用本品的成功性。但是我司会最大程度地在技术上做好专业服务，以方便客户达到其应用本产品的预期目的。</w:t>
            </w:r>
          </w:p>
          <w:p>
            <w:pPr>
              <w:spacing w:line="252" w:lineRule="auto"/>
              <w:rPr>
                <w:rFonts w:hAnsi="宋体"/>
                <w:sz w:val="18"/>
                <w:szCs w:val="18"/>
              </w:rPr>
            </w:pPr>
          </w:p>
        </w:tc>
      </w:tr>
      <w:tr>
        <w:tblPrEx>
          <w:tblBorders>
            <w:top w:val="single" w:color="000000"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903" w:type="dxa"/>
            <w:gridSpan w:val="3"/>
            <w:tcBorders>
              <w:top w:val="nil"/>
              <w:left w:val="nil"/>
              <w:bottom w:val="nil"/>
              <w:right w:val="nil"/>
            </w:tcBorders>
            <w:shd w:val="clear" w:color="auto" w:fill="00CC00"/>
            <w:vAlign w:val="center"/>
          </w:tcPr>
          <w:p>
            <w:pPr>
              <w:rPr>
                <w:rFonts w:ascii="Arial" w:hAnsi="Arial" w:cs="Arial"/>
                <w:b/>
                <w:bCs/>
                <w:color w:val="FFFFFF"/>
                <w:sz w:val="24"/>
                <w:szCs w:val="24"/>
              </w:rPr>
            </w:pPr>
            <w:r>
              <w:rPr>
                <w:rFonts w:ascii="Arial" w:hAnsi="Arial" w:cs="Arial"/>
                <w:b/>
                <w:bCs/>
                <w:color w:val="FFFFFF"/>
                <w:sz w:val="24"/>
                <w:szCs w:val="24"/>
              </w:rPr>
              <w:t>Actmix</w:t>
            </w:r>
            <w:r>
              <w:rPr>
                <w:rFonts w:hint="eastAsia" w:ascii="Arial" w:hAnsi="Arial" w:cs="Arial"/>
                <w:b/>
                <w:bCs/>
                <w:color w:val="FFFFFF"/>
                <w:sz w:val="24"/>
                <w:szCs w:val="24"/>
                <w:lang w:val="en-US" w:eastAsia="zh-CN"/>
              </w:rPr>
              <w:t xml:space="preserve">  Li</w:t>
            </w:r>
            <w:r>
              <w:rPr>
                <w:rFonts w:hint="eastAsia" w:ascii="Arial" w:hAnsi="Arial" w:cs="Arial"/>
                <w:b/>
                <w:bCs/>
                <w:color w:val="FFFFFF"/>
                <w:sz w:val="24"/>
                <w:szCs w:val="24"/>
                <w:vertAlign w:val="subscript"/>
                <w:lang w:val="en-US" w:eastAsia="zh-CN"/>
              </w:rPr>
              <w:t>2</w:t>
            </w:r>
            <w:r>
              <w:rPr>
                <w:rFonts w:hint="eastAsia" w:ascii="Arial" w:hAnsi="Arial" w:cs="Arial"/>
                <w:b/>
                <w:bCs/>
                <w:color w:val="FFFFFF"/>
                <w:sz w:val="24"/>
                <w:szCs w:val="24"/>
                <w:vertAlign w:val="baseline"/>
                <w:lang w:val="en-US" w:eastAsia="zh-CN"/>
              </w:rPr>
              <w:t>C</w:t>
            </w:r>
            <w:r>
              <w:rPr>
                <w:rFonts w:hint="eastAsia" w:ascii="Arial" w:hAnsi="Arial" w:cs="Arial"/>
                <w:b/>
                <w:bCs/>
                <w:color w:val="FFFFFF"/>
                <w:sz w:val="24"/>
                <w:szCs w:val="24"/>
                <w:lang w:val="en-US" w:eastAsia="zh-CN"/>
              </w:rPr>
              <w:t>O</w:t>
            </w:r>
            <w:r>
              <w:rPr>
                <w:rFonts w:hint="eastAsia" w:ascii="Arial" w:hAnsi="Arial" w:cs="Arial"/>
                <w:b/>
                <w:bCs/>
                <w:color w:val="FFFFFF"/>
                <w:sz w:val="24"/>
                <w:szCs w:val="24"/>
                <w:vertAlign w:val="subscript"/>
                <w:lang w:val="en-US" w:eastAsia="zh-CN"/>
              </w:rPr>
              <w:t>3</w:t>
            </w:r>
            <w:r>
              <w:rPr>
                <w:rFonts w:hint="eastAsia" w:ascii="Arial" w:hAnsi="Arial" w:cs="Arial"/>
                <w:b/>
                <w:bCs/>
                <w:color w:val="FFFFFF"/>
                <w:sz w:val="24"/>
                <w:szCs w:val="24"/>
                <w:lang w:val="en-US" w:eastAsia="zh-CN"/>
              </w:rPr>
              <w:t>-50G/HNBR</w:t>
            </w:r>
            <w:r>
              <w:rPr>
                <w:rFonts w:hint="eastAsia" w:ascii="Arial" w:hAnsi="Arial" w:cs="Arial"/>
                <w:b/>
                <w:bCs/>
                <w:color w:val="FFFFFF"/>
                <w:sz w:val="24"/>
                <w:szCs w:val="24"/>
              </w:rPr>
              <w:t xml:space="preserve">                  </w:t>
            </w:r>
            <w:r>
              <w:rPr>
                <w:rFonts w:hint="eastAsia" w:ascii="Arial" w:hAnsi="Arial" w:cs="Arial"/>
                <w:b/>
                <w:bCs/>
                <w:color w:val="FFFFFF"/>
                <w:sz w:val="24"/>
                <w:szCs w:val="24"/>
                <w:lang w:val="en-US" w:eastAsia="zh-CN"/>
              </w:rPr>
              <w:t xml:space="preserve">   </w:t>
            </w:r>
            <w:r>
              <w:rPr>
                <w:rFonts w:hint="eastAsia" w:ascii="Arial" w:hAnsi="Arial" w:cs="Arial"/>
                <w:b/>
                <w:bCs/>
                <w:color w:val="FFFFFF"/>
                <w:szCs w:val="21"/>
              </w:rPr>
              <w:t xml:space="preserve">产品技术说明书（TDS） </w:t>
            </w:r>
            <w:r>
              <w:rPr>
                <w:rFonts w:hint="eastAsia" w:ascii="Arial" w:hAnsi="Arial" w:cs="Arial"/>
                <w:color w:val="FFFFFF"/>
                <w:szCs w:val="21"/>
              </w:rPr>
              <w:t>版本1.</w:t>
            </w:r>
            <w:r>
              <w:rPr>
                <w:rFonts w:hint="eastAsia" w:ascii="Arial" w:hAnsi="Arial" w:cs="Arial"/>
                <w:color w:val="FFFFFF"/>
                <w:szCs w:val="21"/>
                <w:lang w:val="en-US" w:eastAsia="zh-CN"/>
              </w:rPr>
              <w:t>4</w:t>
            </w:r>
          </w:p>
        </w:tc>
      </w:tr>
    </w:tbl>
    <w:p>
      <w:pPr>
        <w:spacing w:line="360" w:lineRule="auto"/>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ACT 64</w:t>
      </w:r>
    </w:p>
    <w:sectPr>
      <w:headerReference r:id="rId3" w:type="default"/>
      <w:footerReference r:id="rId4" w:type="default"/>
      <w:pgSz w:w="11906" w:h="16838"/>
      <w:pgMar w:top="1440" w:right="1800" w:bottom="1440" w:left="1800" w:header="1134" w:footer="116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新宋体" w:hAnsi="新宋体" w:eastAsia="新宋体" w:cs="Arial"/>
        <w:b/>
        <w:color w:val="008000"/>
        <w:sz w:val="44"/>
        <w:szCs w:val="44"/>
      </w:rPr>
    </w:pPr>
    <w:r>
      <w:rPr>
        <w:rFonts w:hint="eastAsia" w:ascii="Arial" w:hAnsi="Arial" w:eastAsia="新宋体" w:cs="Arial"/>
        <w:b/>
        <w:color w:val="008000"/>
        <w:sz w:val="44"/>
        <w:szCs w:val="44"/>
      </w:rPr>
      <w:t>宁波</w:t>
    </w:r>
    <w:r>
      <w:rPr>
        <w:rFonts w:hint="eastAsia" w:ascii="Arial" w:hAnsi="Arial" w:eastAsia="新宋体" w:cs="Arial"/>
        <w:b/>
        <w:color w:val="008000"/>
        <w:sz w:val="44"/>
        <w:szCs w:val="44"/>
        <w:lang w:eastAsia="zh-CN"/>
      </w:rPr>
      <w:t>艾克姆新材料股份</w:t>
    </w:r>
    <w:r>
      <w:rPr>
        <w:rFonts w:hint="eastAsia" w:ascii="Arial" w:hAnsi="Arial" w:eastAsia="新宋体" w:cs="Arial"/>
        <w:b/>
        <w:color w:val="008000"/>
        <w:sz w:val="44"/>
        <w:szCs w:val="44"/>
      </w:rPr>
      <w:t>有限公司</w:t>
    </w:r>
  </w:p>
  <w:p>
    <w:pPr>
      <w:pStyle w:val="3"/>
    </w:pPr>
    <w:r>
      <w:rPr>
        <w:rFonts w:hint="eastAsia" w:ascii="Arial" w:hAnsi="Arial" w:cs="Arial"/>
        <w:color w:val="008000"/>
        <w:kern w:val="0"/>
        <w:sz w:val="18"/>
        <w:szCs w:val="18"/>
      </w:rPr>
      <w:t>电话：</w:t>
    </w:r>
    <w:r>
      <w:rPr>
        <w:rFonts w:hint="eastAsia" w:ascii="Arial" w:hAnsi="Arial" w:cs="Arial"/>
        <w:color w:val="008000"/>
        <w:sz w:val="18"/>
        <w:szCs w:val="18"/>
      </w:rPr>
      <w:t>0</w:t>
    </w:r>
    <w:r>
      <w:rPr>
        <w:rFonts w:ascii="Arial" w:hAnsi="Arial" w:cs="Arial"/>
        <w:color w:val="008000"/>
        <w:sz w:val="18"/>
        <w:szCs w:val="18"/>
      </w:rPr>
      <w:t>574-</w:t>
    </w:r>
    <w:r>
      <w:rPr>
        <w:rFonts w:hint="eastAsia" w:ascii="Arial" w:hAnsi="Arial" w:cs="Arial"/>
        <w:color w:val="008000"/>
        <w:sz w:val="18"/>
        <w:szCs w:val="18"/>
      </w:rPr>
      <w:t xml:space="preserve">87468726  </w:t>
    </w:r>
    <w:r>
      <w:rPr>
        <w:rFonts w:hint="eastAsia" w:ascii="Arial" w:hAnsi="Arial" w:cs="Arial"/>
        <w:color w:val="008000"/>
        <w:kern w:val="0"/>
        <w:sz w:val="18"/>
        <w:szCs w:val="18"/>
      </w:rPr>
      <w:t>传真：</w:t>
    </w:r>
    <w:r>
      <w:rPr>
        <w:rFonts w:ascii="Arial" w:hAnsi="Arial" w:cs="Arial"/>
        <w:color w:val="008000"/>
        <w:sz w:val="18"/>
        <w:szCs w:val="18"/>
      </w:rPr>
      <w:t>0574-</w:t>
    </w:r>
    <w:r>
      <w:rPr>
        <w:rFonts w:hint="eastAsia" w:ascii="Arial" w:hAnsi="Arial" w:cs="Arial"/>
        <w:color w:val="008000"/>
        <w:sz w:val="18"/>
        <w:szCs w:val="18"/>
      </w:rPr>
      <w:t>88002102  Email：dychem@actmix.cn  网址：</w:t>
    </w:r>
    <w:r>
      <w:rPr>
        <w:rFonts w:ascii="Arial" w:hAnsi="Arial" w:cs="Arial"/>
        <w:color w:val="008000"/>
        <w:kern w:val="0"/>
        <w:sz w:val="18"/>
        <w:szCs w:val="18"/>
      </w:rPr>
      <w:t>www.actmix.</w:t>
    </w:r>
    <w:r>
      <w:rPr>
        <w:rFonts w:hint="eastAsia" w:ascii="Arial" w:hAnsi="Arial" w:cs="Arial"/>
        <w:color w:val="008000"/>
        <w:kern w:val="0"/>
        <w:sz w:val="18"/>
        <w:szCs w:val="18"/>
      </w:rPr>
      <w:t>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rPr>
        <w:rFonts w:hint="eastAsia" w:ascii="Arial" w:hAnsi="Arial" w:cs="Arial"/>
        <w:sz w:val="30"/>
        <w:szCs w:val="30"/>
        <w:lang w:val="en-US" w:eastAsia="zh-CN"/>
      </w:rPr>
    </w:pPr>
    <w:r>
      <w:rPr>
        <w:rFonts w:ascii="Arial" w:hAnsi="Arial" w:cs="Arial"/>
        <w:sz w:val="30"/>
        <w:szCs w:val="30"/>
      </w:rPr>
      <w:t>Technical Data Sheet</w:t>
    </w:r>
    <w:r>
      <w:rPr>
        <w:rFonts w:ascii="Arial" w:hAnsi="Arial" w:cs="Arial"/>
        <w:sz w:val="30"/>
        <w:szCs w:val="30"/>
      </w:rPr>
      <w:drawing>
        <wp:anchor distT="0" distB="0" distL="114300" distR="114300" simplePos="0" relativeHeight="1024" behindDoc="0" locked="0" layoutInCell="1" allowOverlap="1">
          <wp:simplePos x="0" y="0"/>
          <wp:positionH relativeFrom="column">
            <wp:posOffset>3093720</wp:posOffset>
          </wp:positionH>
          <wp:positionV relativeFrom="paragraph">
            <wp:posOffset>-310515</wp:posOffset>
          </wp:positionV>
          <wp:extent cx="2305050" cy="657225"/>
          <wp:effectExtent l="0" t="0" r="1143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2305050" cy="657225"/>
                  </a:xfrm>
                  <a:prstGeom prst="rect">
                    <a:avLst/>
                  </a:prstGeom>
                  <a:noFill/>
                  <a:ln w="9525">
                    <a:noFill/>
                  </a:ln>
                </pic:spPr>
              </pic:pic>
            </a:graphicData>
          </a:graphic>
        </wp:anchor>
      </w:drawing>
    </w:r>
    <w:r>
      <w:rPr>
        <w:rFonts w:hint="eastAsia" w:ascii="Arial" w:hAnsi="Arial" w:cs="Arial"/>
        <w:sz w:val="30"/>
        <w:szCs w:val="30"/>
        <w:lang w:val="en-US" w:eastAsia="zh-CN"/>
      </w:rPr>
      <w:t xml:space="preserve"> </w:t>
    </w:r>
  </w:p>
  <w:p>
    <w:pPr>
      <w:pStyle w:val="4"/>
      <w:pBdr>
        <w:bottom w:val="none" w:color="auto" w:sz="0" w:space="1"/>
      </w:pBdr>
      <w:jc w:val="left"/>
      <w:rPr>
        <w:rFonts w:hint="eastAsia" w:ascii="Arial" w:hAnsi="Arial" w:cs="Arial"/>
        <w:sz w:val="30"/>
        <w:szCs w:val="30"/>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3DF"/>
    <w:rsid w:val="000E5938"/>
    <w:rsid w:val="0024558C"/>
    <w:rsid w:val="0025454F"/>
    <w:rsid w:val="00324E45"/>
    <w:rsid w:val="00681409"/>
    <w:rsid w:val="006D5AEB"/>
    <w:rsid w:val="0073614F"/>
    <w:rsid w:val="007E614D"/>
    <w:rsid w:val="008031FF"/>
    <w:rsid w:val="008A4F1E"/>
    <w:rsid w:val="00900B6B"/>
    <w:rsid w:val="00B418EF"/>
    <w:rsid w:val="00CA0726"/>
    <w:rsid w:val="00D05026"/>
    <w:rsid w:val="00E4764D"/>
    <w:rsid w:val="00E522A4"/>
    <w:rsid w:val="00F7452F"/>
    <w:rsid w:val="00FA206C"/>
    <w:rsid w:val="00FD797D"/>
    <w:rsid w:val="00FE6985"/>
    <w:rsid w:val="043E034A"/>
    <w:rsid w:val="0A623BA0"/>
    <w:rsid w:val="0C155D47"/>
    <w:rsid w:val="15D708B1"/>
    <w:rsid w:val="184734BF"/>
    <w:rsid w:val="1D210235"/>
    <w:rsid w:val="2184267D"/>
    <w:rsid w:val="28072B90"/>
    <w:rsid w:val="2CEE0255"/>
    <w:rsid w:val="2FB67C49"/>
    <w:rsid w:val="356631BB"/>
    <w:rsid w:val="35695FC9"/>
    <w:rsid w:val="39B22608"/>
    <w:rsid w:val="3B31445D"/>
    <w:rsid w:val="3F4D0F75"/>
    <w:rsid w:val="42B34186"/>
    <w:rsid w:val="43825436"/>
    <w:rsid w:val="4383152C"/>
    <w:rsid w:val="468C28DD"/>
    <w:rsid w:val="483622F6"/>
    <w:rsid w:val="4A381337"/>
    <w:rsid w:val="4C422A9E"/>
    <w:rsid w:val="4EC72333"/>
    <w:rsid w:val="55F02EDD"/>
    <w:rsid w:val="72BE220F"/>
    <w:rsid w:val="753C04F3"/>
    <w:rsid w:val="78771C2C"/>
    <w:rsid w:val="7BCD11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unhideWhenUsed/>
    <w:qFormat/>
    <w:uiPriority w:val="0"/>
    <w:rPr>
      <w:color w:val="0000FF"/>
      <w:u w:val="single"/>
    </w:r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semiHidden/>
    <w:qFormat/>
    <w:uiPriority w:val="0"/>
    <w:rPr>
      <w:rFonts w:ascii="Calibri" w:hAnsi="Calibri"/>
      <w:kern w:val="2"/>
      <w:sz w:val="18"/>
      <w:szCs w:val="18"/>
    </w:rPr>
  </w:style>
  <w:style w:type="character" w:customStyle="1" w:styleId="11">
    <w:name w:val="页脚 Char"/>
    <w:basedOn w:val="7"/>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585</Words>
  <Characters>754</Characters>
  <Lines>6</Lines>
  <Paragraphs>1</Paragraphs>
  <TotalTime>2</TotalTime>
  <ScaleCrop>false</ScaleCrop>
  <LinksUpToDate>false</LinksUpToDate>
  <CharactersWithSpaces>807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2015-02-04T02:06:00Z</dcterms:created>
  <dc:creator>dadi</dc:creator>
  <cp:lastModifiedBy>江心秋月白</cp:lastModifiedBy>
  <dcterms:modified xsi:type="dcterms:W3CDTF">2021-03-12T02:38:21Z</dcterms:modified>
  <dc:title> Technical Data Sheet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