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8903" w:type="dxa"/>
        <w:tblInd w:w="0" w:type="dxa"/>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2091"/>
        <w:gridCol w:w="5111"/>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3792" w:type="dxa"/>
            <w:gridSpan w:val="2"/>
            <w:tcBorders>
              <w:top w:val="single" w:color="000000" w:sz="12" w:space="0"/>
              <w:bottom w:val="single" w:color="000000" w:sz="12" w:space="0"/>
              <w:right w:val="nil"/>
            </w:tcBorders>
            <w:vAlign w:val="center"/>
          </w:tcPr>
          <w:p>
            <w:pPr>
              <w:rPr>
                <w:rFonts w:hint="eastAsia" w:ascii="Arial" w:hAnsi="Arial" w:eastAsia="宋体" w:cs="Arial"/>
                <w:b/>
                <w:sz w:val="30"/>
                <w:szCs w:val="30"/>
                <w:lang w:val="en-US" w:eastAsia="zh-CN"/>
              </w:rPr>
            </w:pPr>
            <w:r>
              <w:rPr>
                <w:rFonts w:ascii="Arial" w:hAnsi="Arial" w:cs="Arial"/>
                <w:b/>
                <w:sz w:val="30"/>
                <w:szCs w:val="30"/>
              </w:rPr>
              <w:t>Actmix</w:t>
            </w:r>
            <w:r>
              <w:rPr>
                <w:rFonts w:hint="eastAsia" w:ascii="Arial" w:hAnsi="Arial" w:cs="Arial"/>
                <w:b/>
                <w:sz w:val="30"/>
                <w:szCs w:val="30"/>
                <w:lang w:val="en-US" w:eastAsia="zh-CN"/>
              </w:rPr>
              <w:t xml:space="preserve"> </w:t>
            </w:r>
            <w:r>
              <w:rPr>
                <w:rFonts w:hint="eastAsia" w:ascii="Arial" w:hAnsi="Arial" w:cs="Arial"/>
                <w:b/>
                <w:sz w:val="30"/>
                <w:szCs w:val="30"/>
                <w:vertAlign w:val="baseline"/>
                <w:lang w:val="en-US" w:eastAsia="zh-CN"/>
              </w:rPr>
              <w:t>Sb</w:t>
            </w:r>
            <w:r>
              <w:rPr>
                <w:rFonts w:hint="eastAsia" w:ascii="Arial" w:hAnsi="Arial" w:cs="Arial"/>
                <w:b/>
                <w:sz w:val="30"/>
                <w:szCs w:val="30"/>
                <w:vertAlign w:val="subscript"/>
                <w:lang w:val="en-US" w:eastAsia="zh-CN"/>
              </w:rPr>
              <w:t>2</w:t>
            </w:r>
            <w:r>
              <w:rPr>
                <w:rFonts w:hint="eastAsia" w:ascii="Arial" w:hAnsi="Arial" w:cs="Arial"/>
                <w:b/>
                <w:sz w:val="30"/>
                <w:szCs w:val="30"/>
                <w:vertAlign w:val="baseline"/>
                <w:lang w:val="en-US" w:eastAsia="zh-CN"/>
              </w:rPr>
              <w:t>O</w:t>
            </w:r>
            <w:r>
              <w:rPr>
                <w:rFonts w:hint="eastAsia" w:ascii="Arial" w:hAnsi="Arial" w:cs="Arial"/>
                <w:b/>
                <w:sz w:val="30"/>
                <w:szCs w:val="30"/>
                <w:vertAlign w:val="subscript"/>
                <w:lang w:val="en-US" w:eastAsia="zh-CN"/>
              </w:rPr>
              <w:t>3</w:t>
            </w:r>
            <w:r>
              <w:rPr>
                <w:rFonts w:hint="eastAsia" w:ascii="Arial" w:hAnsi="Arial" w:cs="Arial"/>
                <w:b/>
                <w:sz w:val="30"/>
                <w:szCs w:val="30"/>
                <w:vertAlign w:val="baseline"/>
                <w:lang w:val="en-US" w:eastAsia="zh-CN"/>
              </w:rPr>
              <w:t>-85GS</w:t>
            </w:r>
          </w:p>
        </w:tc>
        <w:tc>
          <w:tcPr>
            <w:tcW w:w="5111" w:type="dxa"/>
            <w:tcBorders>
              <w:top w:val="single" w:color="000000" w:sz="12" w:space="0"/>
              <w:left w:val="nil"/>
              <w:bottom w:val="single" w:color="000000" w:sz="12" w:space="0"/>
            </w:tcBorders>
            <w:vAlign w:val="center"/>
          </w:tcPr>
          <w:p>
            <w:pPr>
              <w:rPr>
                <w:rFonts w:hint="eastAsia" w:ascii="Times New Roman" w:hAnsi="Times New Roman"/>
                <w:sz w:val="30"/>
                <w:szCs w:val="30"/>
              </w:rPr>
            </w:pP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val="en-US" w:eastAsia="zh-CN"/>
              </w:rPr>
              <w:t>阻燃</w:t>
            </w:r>
            <w:r>
              <w:rPr>
                <w:rFonts w:hint="eastAsia" w:ascii="Times New Roman" w:hAnsi="Times New Roman"/>
                <w:sz w:val="30"/>
                <w:szCs w:val="30"/>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701" w:type="dxa"/>
            <w:tcBorders>
              <w:top w:val="single" w:color="000000" w:sz="12" w:space="0"/>
              <w:left w:val="nil"/>
              <w:bottom w:val="single" w:color="000000" w:sz="12" w:space="0"/>
              <w:right w:val="nil"/>
            </w:tcBorders>
            <w:vAlign w:val="center"/>
          </w:tcPr>
          <w:p>
            <w:pPr>
              <w:rPr>
                <w:rFonts w:ascii="Times New Roman" w:hAnsi="Times New Roman"/>
                <w:b/>
                <w:sz w:val="24"/>
                <w:szCs w:val="24"/>
              </w:rPr>
            </w:pPr>
            <w:bookmarkStart w:id="0" w:name="_GoBack" w:colFirst="1" w:colLast="2"/>
            <w:r>
              <w:rPr>
                <w:rFonts w:hint="eastAsia" w:ascii="Times New Roman" w:hAnsi="Times New Roman"/>
                <w:b/>
                <w:sz w:val="24"/>
                <w:szCs w:val="24"/>
              </w:rPr>
              <w:t>功能</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阻燃</w:t>
            </w:r>
            <w:r>
              <w:rPr>
                <w:rFonts w:hint="eastAsia" w:ascii="Times New Roman" w:hAnsi="Times New Roman" w:eastAsia="宋体"/>
                <w:sz w:val="24"/>
                <w:szCs w:val="24"/>
                <w:lang w:val="en-US" w:eastAsia="zh-CN"/>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vMerge w:val="restart"/>
            <w:tcBorders>
              <w:top w:val="single" w:color="000000" w:sz="12" w:space="0"/>
              <w:left w:val="nil"/>
              <w:bottom w:val="single" w:color="000000" w:sz="4" w:space="0"/>
              <w:right w:val="nil"/>
            </w:tcBorders>
          </w:tcPr>
          <w:p>
            <w:pPr>
              <w:rPr>
                <w:rFonts w:ascii="Times New Roman" w:hAnsi="Times New Roman"/>
                <w:b/>
                <w:sz w:val="24"/>
                <w:szCs w:val="24"/>
              </w:rPr>
            </w:pPr>
            <w:r>
              <w:rPr>
                <w:rFonts w:hint="eastAsia" w:ascii="Times New Roman" w:hAnsi="Times New Roman"/>
                <w:b/>
                <w:sz w:val="24"/>
                <w:szCs w:val="24"/>
              </w:rPr>
              <w:t>产品说明</w:t>
            </w:r>
          </w:p>
        </w:tc>
        <w:tc>
          <w:tcPr>
            <w:tcW w:w="2091"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组成：</w:t>
            </w:r>
          </w:p>
        </w:tc>
        <w:tc>
          <w:tcPr>
            <w:tcW w:w="5111"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Arial" w:hAnsi="Arial" w:cs="Arial"/>
                <w:sz w:val="24"/>
                <w:szCs w:val="24"/>
                <w:lang w:val="en-US" w:eastAsia="zh-CN"/>
              </w:rPr>
              <w:t>85%</w:t>
            </w:r>
            <w:r>
              <w:rPr>
                <w:rFonts w:hint="eastAsia"/>
                <w:sz w:val="24"/>
                <w:szCs w:val="24"/>
                <w:lang w:val="en-US" w:eastAsia="zh-CN"/>
              </w:rPr>
              <w:t>三氧化二</w:t>
            </w:r>
            <w:r>
              <w:rPr>
                <w:rFonts w:hint="eastAsia" w:ascii="Arial" w:hAnsi="Arial" w:cs="Arial"/>
                <w:sz w:val="24"/>
                <w:szCs w:val="24"/>
                <w:lang w:val="en-US" w:eastAsia="zh-CN"/>
              </w:rPr>
              <w:t>锑和15%预分散</w:t>
            </w:r>
            <w:r>
              <w:rPr>
                <w:rFonts w:hint="eastAsia"/>
                <w:sz w:val="24"/>
                <w:szCs w:val="24"/>
                <w:lang w:val="en-US" w:eastAsia="zh-CN"/>
              </w:rPr>
              <w:t>橡胶载体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209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外观：</w:t>
            </w:r>
          </w:p>
        </w:tc>
        <w:tc>
          <w:tcPr>
            <w:tcW w:w="511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白色颗粒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209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 xml:space="preserve">密度（20 </w:t>
            </w:r>
            <w:r>
              <w:rPr>
                <w:rFonts w:ascii="Times New Roman" w:hAnsi="Times New Roman"/>
                <w:sz w:val="24"/>
                <w:szCs w:val="24"/>
              </w:rPr>
              <w:t>°C</w:t>
            </w:r>
            <w:r>
              <w:rPr>
                <w:rFonts w:hint="eastAsia" w:ascii="Times New Roman" w:hAnsi="Times New Roman"/>
                <w:sz w:val="24"/>
                <w:szCs w:val="24"/>
              </w:rPr>
              <w:t>）：</w:t>
            </w:r>
          </w:p>
        </w:tc>
        <w:tc>
          <w:tcPr>
            <w:tcW w:w="511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sz w:val="24"/>
                <w:szCs w:val="24"/>
                <w:vertAlign w:val="superscript"/>
              </w:rPr>
            </w:pPr>
            <w:r>
              <w:rPr>
                <w:rFonts w:hint="eastAsia" w:ascii="Arial" w:hAnsi="Arial" w:cs="Arial"/>
                <w:sz w:val="24"/>
                <w:szCs w:val="24"/>
                <w:lang w:val="en-US" w:eastAsia="zh-CN"/>
              </w:rPr>
              <w:t>约3.1</w:t>
            </w:r>
            <w:r>
              <w:rPr>
                <w:rFonts w:ascii="Arial" w:hAnsi="Arial" w:cs="Arial"/>
                <w:sz w:val="24"/>
                <w:szCs w:val="24"/>
              </w:rPr>
              <w:t>g/cm</w:t>
            </w:r>
            <w:r>
              <w:rPr>
                <w:rFonts w:ascii="Arial" w:hAnsi="Arial" w:cs="Arial"/>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701" w:type="dxa"/>
            <w:vMerge w:val="continue"/>
            <w:tcBorders>
              <w:top w:val="single" w:color="000000" w:sz="4" w:space="0"/>
              <w:left w:val="nil"/>
              <w:bottom w:val="single" w:color="000000" w:sz="12" w:space="0"/>
              <w:right w:val="nil"/>
            </w:tcBorders>
            <w:vAlign w:val="center"/>
          </w:tcPr>
          <w:p>
            <w:pPr>
              <w:spacing w:beforeLines="100" w:afterLines="50"/>
              <w:rPr>
                <w:rFonts w:ascii="Times New Roman" w:hAnsi="Times New Roman"/>
                <w:b/>
                <w:sz w:val="24"/>
                <w:szCs w:val="24"/>
              </w:rPr>
            </w:pPr>
          </w:p>
        </w:tc>
        <w:tc>
          <w:tcPr>
            <w:tcW w:w="2091"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安全特性：</w:t>
            </w:r>
          </w:p>
        </w:tc>
        <w:tc>
          <w:tcPr>
            <w:tcW w:w="5111"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1" w:type="dxa"/>
            <w:tcBorders>
              <w:top w:val="single" w:color="000000" w:sz="12" w:space="0"/>
              <w:left w:val="nil"/>
              <w:bottom w:val="single" w:color="000000" w:sz="12" w:space="0"/>
              <w:right w:val="nil"/>
            </w:tcBorders>
            <w:vAlign w:val="center"/>
          </w:tcPr>
          <w:p>
            <w:pPr>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应用资料</w:t>
            </w:r>
          </w:p>
        </w:tc>
        <w:tc>
          <w:tcPr>
            <w:tcW w:w="7202" w:type="dxa"/>
            <w:gridSpan w:val="2"/>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1701" w:type="dxa"/>
            <w:tcBorders>
              <w:top w:val="single" w:color="000000" w:sz="12" w:space="0"/>
              <w:left w:val="nil"/>
              <w:bottom w:val="nil"/>
              <w:right w:val="nil"/>
            </w:tcBorders>
          </w:tcPr>
          <w:p>
            <w:pPr>
              <w:rPr>
                <w:rFonts w:hint="eastAsia" w:ascii="Times New Roman" w:hAnsi="Times New Roman"/>
                <w:sz w:val="24"/>
                <w:szCs w:val="24"/>
                <w:lang w:val="en-US" w:eastAsia="zh-CN"/>
              </w:rPr>
            </w:pPr>
            <w:r>
              <w:rPr>
                <w:rFonts w:hint="eastAsia" w:ascii="Times New Roman" w:hAnsi="Times New Roman"/>
                <w:sz w:val="24"/>
                <w:szCs w:val="24"/>
                <w:lang w:val="en-US" w:eastAsia="zh-CN"/>
              </w:rPr>
              <w:t>用途：</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Actmix</w:t>
            </w:r>
            <w:r>
              <w:rPr>
                <w:rFonts w:hint="eastAsia" w:ascii="Times New Roman" w:hAnsi="Times New Roman"/>
                <w:sz w:val="24"/>
                <w:szCs w:val="24"/>
                <w:lang w:val="en-US" w:eastAsia="zh-CN"/>
              </w:rPr>
              <w:t xml:space="preserve"> Sb</w:t>
            </w:r>
            <w:r>
              <w:rPr>
                <w:rFonts w:hint="eastAsia" w:ascii="Times New Roman" w:hAnsi="Times New Roman"/>
                <w:sz w:val="24"/>
                <w:szCs w:val="24"/>
                <w:vertAlign w:val="subscript"/>
                <w:lang w:val="en-US" w:eastAsia="zh-CN"/>
              </w:rPr>
              <w:t>2</w:t>
            </w:r>
            <w:r>
              <w:rPr>
                <w:rFonts w:hint="eastAsia" w:ascii="Times New Roman" w:hAnsi="Times New Roman"/>
                <w:sz w:val="24"/>
                <w:szCs w:val="24"/>
                <w:lang w:val="en-US" w:eastAsia="zh-CN"/>
              </w:rPr>
              <w:t>O</w:t>
            </w:r>
            <w:r>
              <w:rPr>
                <w:rFonts w:hint="eastAsia" w:ascii="Times New Roman" w:hAnsi="Times New Roman"/>
                <w:sz w:val="24"/>
                <w:szCs w:val="24"/>
                <w:vertAlign w:val="subscript"/>
                <w:lang w:val="en-US" w:eastAsia="zh-CN"/>
              </w:rPr>
              <w:t>3</w:t>
            </w:r>
            <w:r>
              <w:rPr>
                <w:rFonts w:hint="eastAsia" w:ascii="Times New Roman" w:hAnsi="Times New Roman"/>
                <w:sz w:val="24"/>
                <w:szCs w:val="24"/>
                <w:lang w:val="en-US" w:eastAsia="zh-CN"/>
              </w:rPr>
              <w:t>-85GS是</w:t>
            </w:r>
            <w:r>
              <w:rPr>
                <w:rFonts w:hint="default" w:ascii="Times New Roman" w:hAnsi="Times New Roman"/>
                <w:sz w:val="24"/>
                <w:szCs w:val="24"/>
                <w:lang w:val="en-US" w:eastAsia="zh-CN"/>
              </w:rPr>
              <w:t>一种</w:t>
            </w:r>
            <w:r>
              <w:rPr>
                <w:rFonts w:hint="eastAsia" w:ascii="Times New Roman" w:hAnsi="Times New Roman"/>
                <w:sz w:val="24"/>
                <w:szCs w:val="24"/>
                <w:lang w:val="en-US" w:eastAsia="zh-CN"/>
              </w:rPr>
              <w:t>预分散橡胶阻燃剂</w:t>
            </w:r>
            <w:r>
              <w:rPr>
                <w:rFonts w:hint="default" w:ascii="Times New Roman" w:hAnsi="Times New Roman"/>
                <w:sz w:val="24"/>
                <w:szCs w:val="24"/>
                <w:lang w:val="en-US" w:eastAsia="zh-CN"/>
              </w:rPr>
              <w:t>，</w:t>
            </w:r>
            <w:r>
              <w:rPr>
                <w:rFonts w:hint="eastAsia" w:ascii="Times New Roman" w:hAnsi="Times New Roman"/>
                <w:sz w:val="24"/>
                <w:szCs w:val="24"/>
                <w:lang w:val="en-US" w:eastAsia="zh-CN"/>
              </w:rPr>
              <w:t>单独使用阻燃效果低，与磷酸酯、含氯化合物（如多氯联苯）、含溴化合物（如六溴苯）并用，有良好的协同效应，阻燃效能显著提高。三氧化二锑在燃烧初期，首先是熔融，在材料表面形成保护膜隔绝空气，通过内部吸热反应，降低燃烧温度。在高温状态下三氧化二锑被气化，稀释了空气中氧浓度，从而起到阻燃作用</w:t>
            </w:r>
            <w:r>
              <w:rPr>
                <w:rFonts w:hint="default" w:ascii="Times New Roman" w:hAnsi="Times New Roman"/>
                <w:sz w:val="24"/>
                <w:szCs w:val="24"/>
                <w:lang w:val="en-US" w:eastAsia="zh-CN"/>
              </w:rPr>
              <w:t>。</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701" w:type="dxa"/>
            <w:tcBorders>
              <w:top w:val="nil"/>
              <w:left w:val="nil"/>
              <w:bottom w:val="nil"/>
              <w:right w:val="nil"/>
            </w:tcBorders>
            <w:vAlign w:val="center"/>
          </w:tcPr>
          <w:p>
            <w:pPr>
              <w:jc w:val="both"/>
              <w:rPr>
                <w:rFonts w:ascii="Times New Roman" w:hAnsi="Times New Roman"/>
                <w:sz w:val="24"/>
                <w:szCs w:val="24"/>
              </w:rPr>
            </w:pPr>
            <w:r>
              <w:rPr>
                <w:rFonts w:hint="eastAsia" w:ascii="Times New Roman" w:hAnsi="Times New Roman"/>
                <w:sz w:val="24"/>
                <w:szCs w:val="24"/>
              </w:rPr>
              <w:t>用量：</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通常情况下0-20phr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701" w:type="dxa"/>
            <w:tcBorders>
              <w:top w:val="single" w:color="000000" w:sz="12" w:space="0"/>
              <w:left w:val="nil"/>
              <w:bottom w:val="nil"/>
              <w:right w:val="nil"/>
            </w:tcBorders>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应用</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12" w:lineRule="auto"/>
              <w:jc w:val="left"/>
              <w:textAlignment w:val="auto"/>
              <w:rPr>
                <w:rFonts w:hint="eastAsia" w:ascii="Times New Roman" w:hAnsi="Times New Roman"/>
                <w:sz w:val="24"/>
                <w:szCs w:val="24"/>
              </w:rPr>
            </w:pPr>
            <w:r>
              <w:rPr>
                <w:rFonts w:hint="default" w:ascii="Times New Roman" w:hAnsi="Times New Roman" w:cs="Times New Roman"/>
                <w:sz w:val="24"/>
                <w:szCs w:val="24"/>
                <w:lang w:eastAsia="zh-CN"/>
              </w:rPr>
              <w:t>用于</w:t>
            </w:r>
            <w:r>
              <w:rPr>
                <w:rFonts w:hint="eastAsia" w:ascii="Times New Roman" w:hAnsi="Times New Roman" w:cs="Times New Roman"/>
                <w:sz w:val="24"/>
                <w:szCs w:val="24"/>
                <w:lang w:val="en-US" w:eastAsia="zh-CN"/>
              </w:rPr>
              <w:t>有阻燃要求的</w:t>
            </w:r>
            <w:r>
              <w:rPr>
                <w:rFonts w:hint="default" w:ascii="Times New Roman" w:hAnsi="Times New Roman" w:cs="Times New Roman"/>
                <w:sz w:val="24"/>
                <w:szCs w:val="24"/>
                <w:lang w:val="en-US" w:eastAsia="zh-CN"/>
              </w:rPr>
              <w:t>橡胶</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701" w:type="dxa"/>
            <w:tcBorders>
              <w:top w:val="single" w:color="000000" w:sz="12" w:space="0"/>
              <w:left w:val="nil"/>
              <w:bottom w:val="nil"/>
              <w:right w:val="nil"/>
            </w:tcBorders>
            <w:vAlign w:val="center"/>
          </w:tcPr>
          <w:p>
            <w:pPr>
              <w:rPr>
                <w:rFonts w:ascii="Times New Roman" w:hAnsi="Times New Roman"/>
                <w:sz w:val="24"/>
                <w:szCs w:val="24"/>
              </w:rPr>
            </w:pPr>
            <w:r>
              <w:rPr>
                <w:rFonts w:hint="eastAsia" w:ascii="Times New Roman" w:hAnsi="Times New Roman"/>
                <w:sz w:val="24"/>
                <w:szCs w:val="24"/>
              </w:rPr>
              <w:t>包装：</w:t>
            </w:r>
          </w:p>
        </w:tc>
        <w:tc>
          <w:tcPr>
            <w:tcW w:w="7202" w:type="dxa"/>
            <w:gridSpan w:val="2"/>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内衬PE袋的纸箱</w:t>
            </w:r>
            <w:r>
              <w:rPr>
                <w:rFonts w:hint="eastAsia" w:ascii="Times New Roman" w:hAnsi="Times New Roman"/>
                <w:sz w:val="24"/>
                <w:szCs w:val="24"/>
                <w:lang w:eastAsia="zh-CN"/>
              </w:rPr>
              <w:t>，</w:t>
            </w:r>
            <w:r>
              <w:rPr>
                <w:rFonts w:hint="eastAsia" w:ascii="Times New Roman" w:hAnsi="Times New Roman"/>
                <w:sz w:val="24"/>
                <w:szCs w:val="24"/>
              </w:rPr>
              <w:t>每箱净重2</w:t>
            </w:r>
            <w:r>
              <w:rPr>
                <w:rFonts w:hint="eastAsia" w:ascii="Times New Roman" w:hAnsi="Times New Roman"/>
                <w:sz w:val="24"/>
                <w:szCs w:val="24"/>
                <w:lang w:val="en-US" w:eastAsia="zh-CN"/>
              </w:rPr>
              <w:t>5</w:t>
            </w:r>
            <w:r>
              <w:rPr>
                <w:rFonts w:hint="eastAsia" w:ascii="Times New Roman" w:hAnsi="Times New Roman"/>
                <w:sz w:val="24"/>
                <w:szCs w:val="24"/>
              </w:rPr>
              <w:t>KG</w:t>
            </w:r>
            <w:r>
              <w:rPr>
                <w:rFonts w:hint="eastAsia" w:ascii="Times New Roman" w:hAnsi="Times New Roman"/>
                <w:sz w:val="24"/>
                <w:szCs w:val="24"/>
                <w:lang w:eastAsia="zh-CN"/>
              </w:rPr>
              <w:t>，</w:t>
            </w:r>
            <w:r>
              <w:rPr>
                <w:rFonts w:hint="eastAsia" w:ascii="Times New Roman" w:hAnsi="Times New Roman"/>
                <w:sz w:val="24"/>
                <w:szCs w:val="24"/>
                <w:lang w:val="en-US" w:eastAsia="zh-CN"/>
              </w:rPr>
              <w:t>1000</w:t>
            </w:r>
            <w:r>
              <w:rPr>
                <w:rFonts w:hint="eastAsia" w:ascii="宋体" w:hAnsi="宋体"/>
                <w:sz w:val="24"/>
                <w:szCs w:val="24"/>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储存稳定性：</w:t>
            </w:r>
          </w:p>
        </w:tc>
        <w:tc>
          <w:tcPr>
            <w:tcW w:w="7202"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密封储存在阴凉、干燥、通风良好的地方，建议产品保存期限为</w:t>
            </w:r>
            <w:r>
              <w:rPr>
                <w:rFonts w:hint="eastAsia" w:ascii="Times New Roman" w:hAnsi="Times New Roman"/>
                <w:sz w:val="24"/>
                <w:szCs w:val="24"/>
                <w:lang w:val="en-US" w:eastAsia="zh-CN"/>
              </w:rPr>
              <w:t>两</w:t>
            </w:r>
            <w:r>
              <w:rPr>
                <w:rFonts w:hint="eastAsia" w:ascii="Times New Roman" w:hAnsi="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701" w:type="dxa"/>
            <w:tcBorders>
              <w:top w:val="nil"/>
              <w:left w:val="nil"/>
              <w:bottom w:val="single" w:color="000000" w:sz="12" w:space="0"/>
              <w:right w:val="nil"/>
            </w:tcBorders>
            <w:vAlign w:val="center"/>
          </w:tcPr>
          <w:p>
            <w:pPr>
              <w:rPr>
                <w:rFonts w:ascii="Times New Roman" w:hAnsi="Times New Roman"/>
                <w:sz w:val="24"/>
                <w:szCs w:val="24"/>
              </w:rPr>
            </w:pPr>
            <w:r>
              <w:rPr>
                <w:rFonts w:hint="eastAsia" w:ascii="Times New Roman" w:hAnsi="Times New Roman"/>
                <w:sz w:val="24"/>
                <w:szCs w:val="24"/>
              </w:rPr>
              <w:t>处置：</w:t>
            </w:r>
          </w:p>
        </w:tc>
        <w:tc>
          <w:tcPr>
            <w:tcW w:w="7202"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在橡胶加工过程中化学添加剂的工作区域建议抽风排气，更进一步的处置资料请参考</w:t>
            </w:r>
            <w:r>
              <w:rPr>
                <w:rFonts w:hint="default" w:ascii="Times New Roman" w:hAnsi="Times New Roman"/>
                <w:sz w:val="24"/>
                <w:szCs w:val="24"/>
                <w:lang w:val="en-US" w:eastAsia="zh-CN"/>
              </w:rPr>
              <w:t>Actmix</w:t>
            </w:r>
            <w:r>
              <w:rPr>
                <w:rFonts w:hint="eastAsia" w:ascii="Times New Roman" w:hAnsi="Times New Roman"/>
                <w:sz w:val="24"/>
                <w:szCs w:val="24"/>
                <w:lang w:val="en-US" w:eastAsia="zh-CN"/>
              </w:rPr>
              <w:t xml:space="preserve"> Sb</w:t>
            </w:r>
            <w:r>
              <w:rPr>
                <w:rFonts w:hint="eastAsia" w:ascii="Times New Roman" w:hAnsi="Times New Roman"/>
                <w:sz w:val="24"/>
                <w:szCs w:val="24"/>
                <w:vertAlign w:val="subscript"/>
                <w:lang w:val="en-US" w:eastAsia="zh-CN"/>
              </w:rPr>
              <w:t>2</w:t>
            </w:r>
            <w:r>
              <w:rPr>
                <w:rFonts w:hint="eastAsia" w:ascii="Times New Roman" w:hAnsi="Times New Roman"/>
                <w:sz w:val="24"/>
                <w:szCs w:val="24"/>
                <w:lang w:val="en-US" w:eastAsia="zh-CN"/>
              </w:rPr>
              <w:t>O</w:t>
            </w:r>
            <w:r>
              <w:rPr>
                <w:rFonts w:hint="eastAsia" w:ascii="Times New Roman" w:hAnsi="Times New Roman"/>
                <w:sz w:val="24"/>
                <w:szCs w:val="24"/>
                <w:vertAlign w:val="subscript"/>
                <w:lang w:val="en-US" w:eastAsia="zh-CN"/>
              </w:rPr>
              <w:t>3</w:t>
            </w:r>
            <w:r>
              <w:rPr>
                <w:rFonts w:hint="eastAsia" w:ascii="Times New Roman" w:hAnsi="Times New Roman"/>
                <w:sz w:val="24"/>
                <w:szCs w:val="24"/>
                <w:lang w:val="en-US" w:eastAsia="zh-CN"/>
              </w:rPr>
              <w:t>-85GS</w:t>
            </w:r>
            <w:r>
              <w:rPr>
                <w:rFonts w:hint="eastAsia" w:ascii="Times New Roman" w:hAnsi="Times New Roman"/>
                <w:sz w:val="24"/>
                <w:szCs w:val="24"/>
              </w:rPr>
              <w:t>的安全数据表。</w:t>
            </w:r>
          </w:p>
        </w:tc>
      </w:tr>
      <w:bookmarkEnd w:id="0"/>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8903" w:type="dxa"/>
            <w:gridSpan w:val="3"/>
            <w:tcBorders>
              <w:top w:val="single" w:color="000000" w:sz="12" w:space="0"/>
              <w:left w:val="nil"/>
              <w:bottom w:val="nil"/>
              <w:right w:val="nil"/>
            </w:tcBorders>
            <w:vAlign w:val="center"/>
          </w:tcPr>
          <w:p>
            <w:pPr>
              <w:spacing w:line="252" w:lineRule="auto"/>
              <w:rPr>
                <w:rFonts w:hAnsi="宋体"/>
                <w:sz w:val="18"/>
                <w:szCs w:val="18"/>
              </w:rPr>
            </w:pPr>
            <w:r>
              <w:rPr>
                <w:rFonts w:hint="eastAsia" w:hAnsi="宋体"/>
                <w:sz w:val="18"/>
                <w:szCs w:val="18"/>
                <w:lang w:eastAsia="zh-CN"/>
              </w:rPr>
              <w:tab/>
            </w: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903" w:type="dxa"/>
            <w:gridSpan w:val="3"/>
            <w:tcBorders>
              <w:top w:val="nil"/>
              <w:left w:val="nil"/>
              <w:bottom w:val="nil"/>
              <w:right w:val="nil"/>
            </w:tcBorders>
            <w:shd w:val="clear" w:color="auto" w:fill="00CC00"/>
            <w:vAlign w:val="center"/>
          </w:tcPr>
          <w:p>
            <w:pPr>
              <w:rPr>
                <w:rFonts w:ascii="Arial" w:hAnsi="Arial" w:cs="Arial"/>
                <w:b/>
                <w:bCs/>
                <w:color w:val="FFFFFF"/>
                <w:sz w:val="24"/>
                <w:szCs w:val="24"/>
              </w:rPr>
            </w:pPr>
            <w:r>
              <w:rPr>
                <w:rFonts w:ascii="Arial" w:hAnsi="Arial" w:cs="Arial"/>
                <w:b/>
                <w:bCs/>
                <w:color w:val="FFFFFF"/>
                <w:sz w:val="24"/>
                <w:szCs w:val="24"/>
              </w:rPr>
              <w:t>Actmix</w:t>
            </w:r>
            <w:r>
              <w:rPr>
                <w:rFonts w:hint="eastAsia" w:ascii="Arial" w:hAnsi="Arial" w:cs="Arial"/>
                <w:b/>
                <w:bCs/>
                <w:color w:val="FFFFFF"/>
                <w:sz w:val="24"/>
                <w:szCs w:val="24"/>
                <w:lang w:val="en-US" w:eastAsia="zh-CN"/>
              </w:rPr>
              <w:t xml:space="preserve">  Sb</w:t>
            </w:r>
            <w:r>
              <w:rPr>
                <w:rFonts w:hint="eastAsia" w:ascii="Arial" w:hAnsi="Arial" w:cs="Arial"/>
                <w:b/>
                <w:bCs/>
                <w:color w:val="FFFFFF"/>
                <w:sz w:val="24"/>
                <w:szCs w:val="24"/>
                <w:vertAlign w:val="subscript"/>
                <w:lang w:val="en-US" w:eastAsia="zh-CN"/>
              </w:rPr>
              <w:t>2</w:t>
            </w:r>
            <w:r>
              <w:rPr>
                <w:rFonts w:hint="eastAsia" w:ascii="Arial" w:hAnsi="Arial" w:cs="Arial"/>
                <w:b/>
                <w:bCs/>
                <w:color w:val="FFFFFF"/>
                <w:sz w:val="24"/>
                <w:szCs w:val="24"/>
                <w:lang w:val="en-US" w:eastAsia="zh-CN"/>
              </w:rPr>
              <w:t>O</w:t>
            </w:r>
            <w:r>
              <w:rPr>
                <w:rFonts w:hint="eastAsia" w:ascii="Arial" w:hAnsi="Arial" w:cs="Arial"/>
                <w:b/>
                <w:bCs/>
                <w:color w:val="FFFFFF"/>
                <w:sz w:val="24"/>
                <w:szCs w:val="24"/>
                <w:vertAlign w:val="subscript"/>
                <w:lang w:val="en-US" w:eastAsia="zh-CN"/>
              </w:rPr>
              <w:t>3</w:t>
            </w:r>
            <w:r>
              <w:rPr>
                <w:rFonts w:hint="eastAsia" w:ascii="Arial" w:hAnsi="Arial" w:cs="Arial"/>
                <w:b/>
                <w:bCs/>
                <w:color w:val="FFFFFF"/>
                <w:sz w:val="24"/>
                <w:szCs w:val="24"/>
                <w:lang w:val="en-US" w:eastAsia="zh-CN"/>
              </w:rPr>
              <w:t xml:space="preserve">-85GS   </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 65</w:t>
      </w:r>
    </w:p>
    <w:sectPr>
      <w:headerReference r:id="rId3" w:type="default"/>
      <w:footerReference r:id="rId4" w:type="default"/>
      <w:pgSz w:w="11906" w:h="16838"/>
      <w:pgMar w:top="1440" w:right="1800" w:bottom="1440" w:left="1800" w:header="1134" w:footer="116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15D708B1"/>
    <w:rsid w:val="184734BF"/>
    <w:rsid w:val="1D210235"/>
    <w:rsid w:val="2184267D"/>
    <w:rsid w:val="28072B90"/>
    <w:rsid w:val="2CEE0255"/>
    <w:rsid w:val="2FB67C49"/>
    <w:rsid w:val="356631BB"/>
    <w:rsid w:val="35695FC9"/>
    <w:rsid w:val="39B22608"/>
    <w:rsid w:val="3B31445D"/>
    <w:rsid w:val="3F4D0F75"/>
    <w:rsid w:val="42B34186"/>
    <w:rsid w:val="43825436"/>
    <w:rsid w:val="4383152C"/>
    <w:rsid w:val="468C28DD"/>
    <w:rsid w:val="4A381337"/>
    <w:rsid w:val="4C422A9E"/>
    <w:rsid w:val="4EC72333"/>
    <w:rsid w:val="55F02EDD"/>
    <w:rsid w:val="63DC5385"/>
    <w:rsid w:val="72BE220F"/>
    <w:rsid w:val="753C04F3"/>
    <w:rsid w:val="78771C2C"/>
    <w:rsid w:val="7BCD11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585</Words>
  <Characters>754</Characters>
  <Lines>6</Lines>
  <Paragraphs>1</Paragraphs>
  <TotalTime>7</TotalTime>
  <ScaleCrop>false</ScaleCrop>
  <LinksUpToDate>false</LinksUpToDate>
  <CharactersWithSpaces>807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2021-03-12T03:11:33Z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